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1B9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F3F2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E9F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FAB3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E695F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="0" w:afterAutospacing="0" w:line="580" w:lineRule="exac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  <w:t>鄂托克前旗文化和旅游局关于报送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  <w:t>2024年</w:t>
      </w:r>
    </w:p>
    <w:p w14:paraId="1E6C9C2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="0" w:afterAutospacing="0" w:line="580" w:lineRule="exac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政府信息公开工作年度报告</w:t>
      </w:r>
    </w:p>
    <w:p w14:paraId="0E47478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17EEC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鄂托克前旗政务服务与数据管理局：</w:t>
      </w:r>
    </w:p>
    <w:p w14:paraId="1957B2B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鄂托克前旗文化和旅游局202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年政府信息公开年度报告已拟妥，报告根据《中华人民共和国政府信息公开条例》《国务院 办公厅政府信息与政务公开办公室关于印发&lt;中华人民共和国政 府信息公开工作年度报告格式&gt;的通知》(国办公开办函〔2021〕30号)要求制作，全文包括鄂托克前旗文化和旅游局202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年政府信息公开总体情况，主动公开政府信息情况，收到和处理政府信息公开申请情况，政府信息公开行政复议、行政诉情况，存在的问题及改进情况，其他需要报告的事项。所列数据统计期限为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</w:t>
      </w:r>
    </w:p>
    <w:p w14:paraId="1AD088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本年度报告电子版可以从鄂前旗政府门户网站(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"http://www.etkqq.gov.cn"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http://www.etkqq.gov.cn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)下载。如对本年府报告有疑问可与鄂托克前旗文化和旅游局办公室联系(电话：0477—2781388)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A6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一、总体情况</w:t>
      </w:r>
    </w:p>
    <w:p w14:paraId="754CB19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right="0" w:firstLine="800"/>
        <w:jc w:val="both"/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根据《中华人民共和国政府信息公开条例》文件精神，鄂托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克前旗文化和旅游局在旗委、政府的正确领导下，紧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密结合文旅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工作，认真做好政府信息公开的各项工作，不断规范政府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信息公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开内容，突出政府信息公开重点，提高政府信息公开水平。现结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合工作实际，将总体情况报告如下：</w:t>
      </w:r>
    </w:p>
    <w:p w14:paraId="1FF0853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88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spacing w:val="9"/>
          <w:sz w:val="32"/>
          <w:szCs w:val="32"/>
        </w:rPr>
        <w:t>(</w:t>
      </w:r>
      <w:r>
        <w:rPr>
          <w:rFonts w:hint="eastAsia" w:ascii="楷体" w:hAnsi="楷体" w:eastAsia="楷体" w:cs="楷体"/>
          <w:spacing w:val="9"/>
          <w:sz w:val="32"/>
          <w:szCs w:val="32"/>
          <w:lang w:val="en-US" w:eastAsia="zh-CN"/>
        </w:rPr>
        <w:t>一</w:t>
      </w:r>
      <w:r>
        <w:rPr>
          <w:rFonts w:ascii="楷体" w:hAnsi="楷体" w:eastAsia="楷体" w:cs="楷体"/>
          <w:spacing w:val="9"/>
          <w:sz w:val="32"/>
          <w:szCs w:val="32"/>
        </w:rPr>
        <w:t>)</w:t>
      </w:r>
      <w:r>
        <w:rPr>
          <w:rFonts w:ascii="楷体" w:hAnsi="楷体" w:eastAsia="楷体" w:cs="楷体"/>
          <w:spacing w:val="17"/>
          <w:sz w:val="32"/>
          <w:szCs w:val="32"/>
        </w:rPr>
        <w:t>主动公开方面。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年，我局按照条例的规定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在鄂托克前旗政府门户网站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主动公开公文类信息有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通过鄂托克前旗文化和旅游局微信公众号动态类信息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176期700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余条。内容包括本单位机构概况类信息、财政信息、在线访谈、工作动态、部门文件、政务信息、其他信息公开事项等政府信息，充分保障群众的知情权、监督权。受理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鄂尔多斯12345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热线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件次，均按时办结。</w:t>
      </w:r>
    </w:p>
    <w:p w14:paraId="5834581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8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spacing w:val="9"/>
          <w:sz w:val="32"/>
          <w:szCs w:val="32"/>
        </w:rPr>
        <w:t>(二)依申请公开方面。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严格按照《中华人民共和国政府信 息公开条例》规定，认真做好本部门政府信息依申请公开工作。 202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年暂未收到公开信息申请。</w:t>
      </w:r>
    </w:p>
    <w:p w14:paraId="2D3666A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8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spacing w:val="8"/>
          <w:sz w:val="32"/>
          <w:szCs w:val="32"/>
        </w:rPr>
        <w:t>(三)政府信息管理方面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根据工作要求，结合文旅工作实际，更新修订《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鄂托克前旗文化和旅游局信息报送审核制度与流程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》，促进政务公开工作制度化、规范化。严格落实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网站信息发布分级审批以及政务新媒体“三审三校”制度。</w:t>
      </w:r>
    </w:p>
    <w:p w14:paraId="377EBC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85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spacing w:val="11"/>
          <w:sz w:val="31"/>
          <w:szCs w:val="31"/>
        </w:rPr>
        <w:t>(四)平台建设方面。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文旅局现在通过“鄂托克前旗文化和旅游局”微信公众号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、视频号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鄂托克前旗政府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门户网站等载体向社会予以公布有关情况，方便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对文化和旅游工作情况进一步了解。在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鄂托克前旗文化和旅游局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微信公众号上，能够查询到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鄂托克前旗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的各大旅游景点介绍，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鄂托克前旗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当地的旅游资源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文旅局的重点工作动态，活动信息等；在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鄂托克前旗政府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门户官方网站上可以看到单位的发文公开和预决算公开，以及各类事项的通知公告公示，及时更新各栏目信息内容，方便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和文化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单位经营者查阅、了解相关信息。</w:t>
      </w:r>
    </w:p>
    <w:p w14:paraId="78219E6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85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spacing w:val="11"/>
          <w:sz w:val="31"/>
          <w:szCs w:val="31"/>
        </w:rPr>
        <w:t>(五)监督保障方面。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将政务公开作为转变机关作风、提高行政效能的一项工作重点，坚持“自查+督查”的工作模式，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对政务公开内容开展自查自纠，通过对政务公开的内容、渠道、时限、效果等全方面进行自查，同时加强与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旗网信办、旗政数局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的工作对接，依托“智能监测”手段，对网站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及新媒体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进行监督检查。</w:t>
      </w:r>
    </w:p>
    <w:p w14:paraId="1524764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850"/>
        <w:jc w:val="both"/>
        <w:textAlignment w:val="baseline"/>
        <w:rPr>
          <w:rFonts w:ascii="Segoe UI" w:hAnsi="Segoe UI" w:eastAsia="Segoe UI" w:cs="Segoe U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8"/>
        <w:gridCol w:w="1930"/>
        <w:gridCol w:w="1673"/>
        <w:gridCol w:w="1771"/>
      </w:tblGrid>
      <w:tr w14:paraId="29D4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88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86D1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1042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8CA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1AFE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67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A311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0146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266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2F6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B8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C5E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86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B85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14E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3A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F5C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03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63B6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422B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74A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F4F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2AD7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0DF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16A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D42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8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2E01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612E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63E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D77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CEC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97E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AFB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38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1099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F4B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48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8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694D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4F4A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A09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2BA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7685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25B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16DC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7AC435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1777"/>
        <w:gridCol w:w="706"/>
        <w:gridCol w:w="658"/>
        <w:gridCol w:w="658"/>
        <w:gridCol w:w="706"/>
        <w:gridCol w:w="766"/>
        <w:gridCol w:w="756"/>
        <w:gridCol w:w="863"/>
      </w:tblGrid>
      <w:tr w14:paraId="11B0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99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19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95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0113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1E90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03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46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12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0F3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3952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0A72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F9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6E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A2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B1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09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DC64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0F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73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C7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9A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AE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66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89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19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39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55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38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BF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FE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87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03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5E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AF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26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7F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99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90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3D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6E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63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A6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FD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35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5B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E1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2E2A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62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2E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A7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D5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C9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E4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10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36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4A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B69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BC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38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27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A3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5B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A8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24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30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D6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6C4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873E3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00B8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9C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8B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EC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89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31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32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80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CC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C7C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4224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27A3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9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危及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三安全一稳定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97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DE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24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1D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C3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17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6D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4DE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DE94F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0EBD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C5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C7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4A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5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51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77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CE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2F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C0F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6BBE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0573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CC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B6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77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D1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85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60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CD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8C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C85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7DF2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4CEE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5F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E3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FA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B2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6A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90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37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C1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B7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D532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44F4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21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EB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05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6E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24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15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B4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5B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286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9784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B55F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DA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属于行政查询事项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6A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8B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9D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38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F3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B9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C4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9C7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AF8E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56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3F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本机关不掌握相关政府信息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C8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40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23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73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2E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24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E7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DE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AB1EF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8471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41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C9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38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26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CF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92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0C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27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A1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0A64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BD80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E9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D4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AA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E9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FF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F0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31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D09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CC7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D1EF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5D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E2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7D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06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6C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FB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FC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11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85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780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FB79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BC393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CB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59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69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DC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8E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F9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FC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F4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64A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A918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252B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D1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35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F3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A9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E9C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7D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C1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63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F9E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72933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FB1E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B0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76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77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51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F9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B8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31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03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8D1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17EF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CCB8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D2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A9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73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FF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ED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52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12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05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5D9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B2C7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21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FC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申请人无正当理由预期不补正、行政机关不再处理其政府信息公开申请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49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61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CE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3A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08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85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48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5F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F05D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876E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8E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申请人预期未按收费通知要求缴纳费用、行政机关不再处理其政府信息公开申请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B5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54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FE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B2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87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BA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88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B5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E8973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B876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89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48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10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88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FE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70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1E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C0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D8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C2F2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8C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03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AF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5A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89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82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50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8E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62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E3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7C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BF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9F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43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0A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E1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41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2C232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5338BD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年，我局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未发生行政复议及行政诉讼情况。</w:t>
      </w:r>
    </w:p>
    <w:tbl>
      <w:tblPr>
        <w:tblStyle w:val="6"/>
        <w:tblW w:w="8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14"/>
        <w:gridCol w:w="514"/>
        <w:gridCol w:w="514"/>
        <w:gridCol w:w="576"/>
        <w:gridCol w:w="496"/>
        <w:gridCol w:w="515"/>
        <w:gridCol w:w="515"/>
        <w:gridCol w:w="515"/>
        <w:gridCol w:w="540"/>
        <w:gridCol w:w="496"/>
        <w:gridCol w:w="516"/>
        <w:gridCol w:w="630"/>
        <w:gridCol w:w="497"/>
        <w:gridCol w:w="1409"/>
      </w:tblGrid>
      <w:tr w14:paraId="0D96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6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BE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2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66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1F28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59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39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0C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61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2D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5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70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77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1B8E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B82E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C9E8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E6E5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860F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6ABF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43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F2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EB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A0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FA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BB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BB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24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37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E0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BAF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5E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35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DA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E6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C0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46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12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DC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C9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4B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95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FA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7A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04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7D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09CA7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top"/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2BAD12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80" w:lineRule="exact"/>
        <w:ind w:right="0" w:firstLine="640" w:firstLineChars="200"/>
        <w:jc w:val="both"/>
        <w:textAlignment w:val="top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今年以来，政务公开工作虽然取得一些成效，但是还存在几个方面的问题，包括公开内容的广度和深度不够；公开工作事项多，公开具体的措施和效果少等。</w:t>
      </w:r>
    </w:p>
    <w:p w14:paraId="07C019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80" w:lineRule="exact"/>
        <w:ind w:right="0" w:firstLine="640" w:firstLineChars="200"/>
        <w:jc w:val="both"/>
        <w:textAlignment w:val="top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针对这些问题，将进一步深化政府信息公开内容，进一步提升信息公开实效，及时发布权威信息，正面引导舆论，增进公众对政府政策的理解认同。</w:t>
      </w:r>
    </w:p>
    <w:p w14:paraId="728F21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80" w:lineRule="exact"/>
        <w:ind w:right="0" w:firstLine="640" w:firstLineChars="200"/>
        <w:jc w:val="both"/>
        <w:textAlignment w:val="top"/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六、其他需要报告的事项</w:t>
      </w:r>
    </w:p>
    <w:p w14:paraId="31A95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按照《国务院办公厅关于印发&lt;政府信息公开信息处理费管理办法&gt;的通知》(国办函 (2020) 109号)规定，2024年我局未收到政府信息公开申请，未收取信息处理费。</w:t>
      </w:r>
    </w:p>
    <w:p w14:paraId="3080705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35041">
    <w:pPr>
      <w:spacing w:before="1" w:line="177" w:lineRule="auto"/>
      <w:ind w:left="8290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2AAD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2AAD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78BD">
    <w:pPr>
      <w:pStyle w:val="4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WZmYjQxMGU1ZTdhZGQzYjIwNDQ3ODkwMjc2YjQifQ=="/>
  </w:docVars>
  <w:rsids>
    <w:rsidRoot w:val="0C636E13"/>
    <w:rsid w:val="0C6133EF"/>
    <w:rsid w:val="0C636E13"/>
    <w:rsid w:val="2EE06F1E"/>
    <w:rsid w:val="56C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1817</Words>
  <Characters>1905</Characters>
  <Lines>0</Lines>
  <Paragraphs>0</Paragraphs>
  <TotalTime>15</TotalTime>
  <ScaleCrop>false</ScaleCrop>
  <LinksUpToDate>false</LinksUpToDate>
  <CharactersWithSpaces>2033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2025-01-17T02:18:00Z</dcterms:created>
  <dc:creator>翟学婧</dc:creator>
  <cp:lastModifiedBy>松都尔</cp:lastModifiedBy>
  <cp:lastPrinted>2025-03-11T09:10:46Z</cp:lastPrinted>
  <dcterms:modified xsi:type="dcterms:W3CDTF">2025-03-11T09:11:22Z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D2FC726A8FB34EF78EAF19B48AC5C8DE_11</vt:lpwstr>
  </property>
  <property fmtid="{D5CDD505-2E9C-101B-9397-08002B2CF9AE}" pid="4" name="KSOTemplateDocerSaveRecord">
    <vt:lpwstr>eyJoZGlkIjoiOTg1MDZiNDQ2M2UwZDZmYzE3MzE0ZGUwYjQ0NGYyMGYiLCJ1c2VySWQiOiIzMTcyMjUzOTAifQ==</vt:lpwstr>
  </property>
</Properties>
</file>