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tblpX="15812" w:tblpY="45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tbl>
      <w:tblPr>
        <w:tblStyle w:val="10"/>
        <w:tblpPr w:leftFromText="180" w:rightFromText="180" w:vertAnchor="text" w:tblpX="15812" w:tblpY="48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p>
      <w:pPr>
        <w:pStyle w:val="2"/>
        <w:jc w:val="center"/>
        <w:rPr>
          <w:rFonts w:hint="eastAsia" w:ascii="方正小标宋_GBK" w:hAnsi="方正小标宋_GBK" w:eastAsia="方正小标宋_GBK"/>
          <w:b w:val="0"/>
          <w:bCs w:val="0"/>
          <w:sz w:val="36"/>
          <w:szCs w:val="36"/>
        </w:rPr>
      </w:pPr>
      <w:r>
        <w:rPr>
          <w:rFonts w:hint="eastAsia" w:ascii="方正小标宋_GBK" w:hAnsi="方正小标宋_GBK" w:eastAsia="方正小标宋_GBK"/>
          <w:b w:val="0"/>
          <w:bCs w:val="0"/>
          <w:sz w:val="36"/>
          <w:szCs w:val="36"/>
        </w:rPr>
        <w:t>鄂托克前旗</w:t>
      </w:r>
      <w:r>
        <w:rPr>
          <w:rFonts w:hint="eastAsia" w:ascii="方正小标宋_GBK" w:hAnsi="方正小标宋_GBK" w:eastAsia="方正小标宋_GBK"/>
          <w:b w:val="0"/>
          <w:bCs w:val="0"/>
          <w:sz w:val="36"/>
          <w:szCs w:val="36"/>
          <w:lang w:val="en-US" w:eastAsia="zh-CN"/>
        </w:rPr>
        <w:t>文化和旅游局</w:t>
      </w:r>
      <w:r>
        <w:rPr>
          <w:rFonts w:hint="eastAsia" w:ascii="方正小标宋_GBK" w:hAnsi="方正小标宋_GBK" w:eastAsia="方正小标宋_GBK"/>
          <w:b w:val="0"/>
          <w:bCs w:val="0"/>
          <w:sz w:val="36"/>
          <w:szCs w:val="36"/>
        </w:rPr>
        <w:t>政务公开事项标准目录（2020</w:t>
      </w:r>
      <w:r>
        <w:rPr>
          <w:rFonts w:hint="eastAsia" w:ascii="方正小标宋_GBK" w:hAnsi="方正小标宋_GBK" w:eastAsia="方正小标宋_GBK"/>
          <w:b w:val="0"/>
          <w:bCs w:val="0"/>
          <w:sz w:val="36"/>
          <w:szCs w:val="36"/>
          <w:lang w:eastAsia="zh-CN"/>
        </w:rPr>
        <w:t>机关</w:t>
      </w:r>
      <w:r>
        <w:rPr>
          <w:rFonts w:hint="eastAsia" w:ascii="方正小标宋_GBK" w:hAnsi="方正小标宋_GBK" w:eastAsia="方正小标宋_GBK"/>
          <w:b w:val="0"/>
          <w:bCs w:val="0"/>
          <w:sz w:val="36"/>
          <w:szCs w:val="36"/>
        </w:rPr>
        <w:t>版）</w:t>
      </w:r>
    </w:p>
    <w:tbl>
      <w:tblPr>
        <w:tblStyle w:val="9"/>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3"/>
        <w:gridCol w:w="757"/>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1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68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5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544" w:type="dxa"/>
            <w:vMerge w:val="continue"/>
            <w:vAlign w:val="center"/>
          </w:tcPr>
          <w:p>
            <w:pPr>
              <w:widowControl/>
              <w:jc w:val="left"/>
              <w:rPr>
                <w:rFonts w:hint="eastAsia" w:ascii="黑体" w:hAnsi="宋体" w:eastAsia="黑体" w:cs="宋体"/>
                <w:color w:val="000000"/>
                <w:kern w:val="0"/>
                <w:sz w:val="22"/>
              </w:rPr>
            </w:pPr>
          </w:p>
        </w:tc>
        <w:tc>
          <w:tcPr>
            <w:tcW w:w="1516"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06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540" w:type="dxa"/>
            <w:vMerge w:val="restart"/>
            <w:shd w:val="clear" w:color="auto" w:fill="auto"/>
            <w:noWrap/>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683"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p>
          <w:p>
            <w:pPr>
              <w:jc w:val="center"/>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机构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职能</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机关职能、机构设置、办公地址、联系方式、办公时间、负责人姓名等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5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政府信息公开指南</w:t>
            </w:r>
          </w:p>
        </w:tc>
        <w:tc>
          <w:tcPr>
            <w:tcW w:w="23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政府信息的分类、编排体系、获取方式、政府信息公开工作部门地址 、联系电话、传真号码、互联网联系方式等</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1月31日之前公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政府信息公开目录</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全文公开，包括索引、名称、文号、内容概述、生成日期等；</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依申请公开受理表、告知书、受理流程、公开电话等</w:t>
            </w: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除本政机关主动公开的政府信息外，其他信息。</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lang w:val="en-US" w:eastAsia="zh-CN"/>
              </w:rPr>
              <w:t>/办公现场</w:t>
            </w:r>
          </w:p>
        </w:tc>
        <w:tc>
          <w:tcPr>
            <w:tcW w:w="540"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p>
        </w:tc>
        <w:tc>
          <w:tcPr>
            <w:tcW w:w="709"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p>
        </w:tc>
        <w:tc>
          <w:tcPr>
            <w:tcW w:w="551"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p>
        </w:tc>
        <w:tc>
          <w:tcPr>
            <w:tcW w:w="1062" w:type="dxa"/>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val="en-US" w:eastAsia="zh-CN"/>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p>
        </w:tc>
        <w:tc>
          <w:tcPr>
            <w:tcW w:w="1544"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tc>
        <w:tc>
          <w:tcPr>
            <w:tcW w:w="540" w:type="dxa"/>
            <w:vMerge w:val="restart"/>
            <w:shd w:val="clear" w:color="auto" w:fill="auto"/>
            <w:noWrap/>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lang w:val="en-US" w:eastAsia="zh-CN"/>
              </w:rPr>
            </w:pPr>
          </w:p>
        </w:tc>
        <w:tc>
          <w:tcPr>
            <w:tcW w:w="709" w:type="dxa"/>
            <w:vMerge w:val="restart"/>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noWrap/>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p>
        </w:tc>
        <w:tc>
          <w:tcPr>
            <w:tcW w:w="1062" w:type="dxa"/>
            <w:vMerge w:val="restart"/>
            <w:shd w:val="clear" w:color="auto" w:fill="auto"/>
            <w:noWrap/>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bookmarkStart w:id="0" w:name="_GoBack"/>
            <w:bookmarkEnd w:id="0"/>
            <w:r>
              <w:rPr>
                <w:rFonts w:hint="eastAsia" w:ascii="仿宋_GB2312" w:hAnsi="宋体" w:eastAsia="仿宋_GB2312"/>
                <w:color w:val="000000"/>
                <w:sz w:val="18"/>
                <w:szCs w:val="18"/>
              </w:rPr>
              <w:t>&lt;地方预决算公开操作规程的通知&gt;》、《财政部关于印发&lt;地方政府债务信息公开办法（试行）&gt;的通知》等法律法规和文件规定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s="Times New Roman"/>
                <w:color w:val="000000"/>
                <w:kern w:val="2"/>
                <w:sz w:val="18"/>
                <w:szCs w:val="18"/>
                <w:lang w:val="en-US" w:eastAsia="zh-CN" w:bidi="ar-SA"/>
              </w:rPr>
            </w:pPr>
          </w:p>
        </w:tc>
        <w:tc>
          <w:tcPr>
            <w:tcW w:w="1544"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鄂托克前旗文化和旅游局</w:t>
            </w: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540" w:type="dxa"/>
            <w:vMerge w:val="restart"/>
            <w:shd w:val="clear" w:color="auto" w:fill="auto"/>
            <w:noWrap/>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709" w:type="dxa"/>
            <w:vMerge w:val="restart"/>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noWrap/>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vMerge w:val="restart"/>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1620"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44"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16" w:type="dxa"/>
            <w:vMerge w:val="continue"/>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p>
        </w:tc>
        <w:tc>
          <w:tcPr>
            <w:tcW w:w="540"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noWrap/>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信息</w:t>
            </w:r>
          </w:p>
        </w:tc>
        <w:tc>
          <w:tcPr>
            <w:tcW w:w="2340" w:type="dxa"/>
            <w:shd w:val="clear" w:color="auto" w:fill="auto"/>
            <w:vAlign w:val="center"/>
          </w:tcPr>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三重一大、人事等信息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widowControl/>
              <w:textAlignment w:val="cente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tc>
        <w:tc>
          <w:tcPr>
            <w:tcW w:w="540"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restart"/>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2</w:t>
            </w:r>
          </w:p>
        </w:tc>
        <w:tc>
          <w:tcPr>
            <w:tcW w:w="683" w:type="dxa"/>
            <w:vMerge w:val="restart"/>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政策</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法规</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法律、法规</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国家文化和旅游相关的法律法规和自治区、市、旗有关文化和旅游的地方性法规</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vAlign w:val="center"/>
          </w:tcPr>
          <w:p>
            <w:pPr>
              <w:rPr>
                <w:rFonts w:hint="eastAsia" w:ascii="仿宋_GB2312" w:hAnsi="宋体" w:eastAsia="仿宋_GB2312" w:cs="宋体"/>
                <w:color w:val="000000"/>
                <w:sz w:val="18"/>
                <w:szCs w:val="18"/>
                <w:lang w:val="en-US" w:eastAsia="zh-CN"/>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部门和地方政府规章</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国家部委和自治区、市、旗政府制定的有关文化和旅游的规章</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vAlign w:val="center"/>
          </w:tcPr>
          <w:p>
            <w:pPr>
              <w:rPr>
                <w:rFonts w:hint="eastAsia" w:ascii="仿宋_GB2312" w:hAnsi="宋体" w:eastAsia="仿宋_GB2312" w:cs="宋体"/>
                <w:color w:val="000000"/>
                <w:sz w:val="18"/>
                <w:szCs w:val="18"/>
                <w:lang w:val="en-US" w:eastAsia="zh-CN"/>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其他政策文件</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旗委、旗政府名义制定或文化和旅游局制定的政策性文件</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restart"/>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683" w:type="dxa"/>
            <w:vMerge w:val="restart"/>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公共</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文化</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服务</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重大</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文旅</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活动</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活动方案及相关信息</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widowControl/>
              <w:textAlignment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w:t>
            </w:r>
            <w:r>
              <w:rPr>
                <w:rFonts w:hint="eastAsia" w:ascii="仿宋_GB2312" w:hAnsi="仿宋" w:eastAsia="仿宋_GB2312"/>
                <w:color w:val="000000"/>
                <w:sz w:val="18"/>
                <w:szCs w:val="18"/>
              </w:rPr>
              <w:t xml:space="preserve"> </w:t>
            </w:r>
          </w:p>
        </w:tc>
        <w:tc>
          <w:tcPr>
            <w:tcW w:w="540" w:type="dxa"/>
            <w:shd w:val="clear" w:color="auto" w:fill="auto"/>
            <w:noWrap/>
            <w:vAlign w:val="center"/>
          </w:tcPr>
          <w:p>
            <w:pPr>
              <w:widowControl/>
              <w:jc w:val="center"/>
              <w:textAlignment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tcBorders/>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tcBorders/>
            <w:vAlign w:val="center"/>
          </w:tcPr>
          <w:p>
            <w:pPr>
              <w:rPr>
                <w:rFonts w:hint="eastAsia" w:ascii="仿宋_GB2312" w:hAnsi="宋体" w:eastAsia="仿宋_GB2312" w:cs="宋体"/>
                <w:color w:val="000000"/>
                <w:sz w:val="18"/>
                <w:szCs w:val="18"/>
                <w:lang w:val="en-US" w:eastAsia="zh-CN"/>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文旅惠民工程</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Times New Roman" w:eastAsia="仿宋_GB2312"/>
                <w:sz w:val="18"/>
                <w:szCs w:val="18"/>
              </w:rPr>
              <w:t>公共文化机构免费开放信息</w:t>
            </w:r>
            <w:r>
              <w:rPr>
                <w:rFonts w:hint="eastAsia" w:ascii="仿宋_GB2312" w:hAnsi="Times New Roman" w:eastAsia="仿宋_GB2312"/>
                <w:sz w:val="18"/>
                <w:szCs w:val="18"/>
                <w:lang w:eastAsia="zh-CN"/>
              </w:rPr>
              <w:t>、文旅惠民</w:t>
            </w:r>
            <w:r>
              <w:rPr>
                <w:rFonts w:hint="eastAsia" w:ascii="仿宋_GB2312" w:hAnsi="宋体" w:eastAsia="仿宋_GB2312"/>
                <w:color w:val="000000"/>
                <w:sz w:val="18"/>
                <w:szCs w:val="18"/>
                <w:lang w:val="en-US" w:eastAsia="zh-CN"/>
              </w:rPr>
              <w:t>活动方案及相关信息</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widowControl/>
              <w:textAlignment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w:t>
            </w:r>
          </w:p>
        </w:tc>
        <w:tc>
          <w:tcPr>
            <w:tcW w:w="540" w:type="dxa"/>
            <w:shd w:val="clear" w:color="auto" w:fill="auto"/>
            <w:noWrap/>
            <w:vAlign w:val="center"/>
          </w:tcPr>
          <w:p>
            <w:pPr>
              <w:widowControl/>
              <w:jc w:val="center"/>
              <w:textAlignment w:val="center"/>
              <w:rPr>
                <w:rFonts w:hint="eastAsia" w:ascii="仿宋_GB2312" w:hAnsi="仿宋"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tcBorders/>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tcBorders/>
            <w:vAlign w:val="center"/>
          </w:tcPr>
          <w:p>
            <w:pPr>
              <w:rPr>
                <w:rFonts w:hint="eastAsia" w:ascii="仿宋_GB2312" w:hAnsi="宋体" w:eastAsia="仿宋_GB2312" w:cs="宋体"/>
                <w:color w:val="000000"/>
                <w:sz w:val="18"/>
                <w:szCs w:val="18"/>
                <w:lang w:val="en-US" w:eastAsia="zh-CN"/>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非遗、文物保护传承工作</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传承人、传承项目、</w:t>
            </w:r>
            <w:r>
              <w:rPr>
                <w:rFonts w:hint="eastAsia" w:ascii="仿宋_GB2312" w:hAnsi="Times New Roman" w:eastAsia="仿宋_GB2312"/>
                <w:sz w:val="18"/>
                <w:szCs w:val="18"/>
              </w:rPr>
              <w:t>文博单位名录</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widowControl/>
              <w:textAlignment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restart"/>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683" w:type="dxa"/>
            <w:vMerge w:val="restart"/>
            <w:tcBorders/>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文旅</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产业</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发展</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宣传营销工作</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相关信息</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widowControl/>
              <w:textAlignment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tcBorders/>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tcBorders/>
            <w:vAlign w:val="center"/>
          </w:tcPr>
          <w:p>
            <w:pPr>
              <w:rPr>
                <w:rFonts w:hint="eastAsia" w:ascii="仿宋_GB2312" w:hAnsi="宋体" w:eastAsia="仿宋_GB2312" w:cs="宋体"/>
                <w:color w:val="000000"/>
                <w:sz w:val="18"/>
                <w:szCs w:val="18"/>
                <w:lang w:val="en-US" w:eastAsia="zh-CN"/>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项目建设</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项目建设进展情况</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widowControl/>
              <w:textAlignment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tcBorders/>
            <w:vAlign w:val="center"/>
          </w:tcPr>
          <w:p>
            <w:pPr>
              <w:jc w:val="center"/>
              <w:rPr>
                <w:rFonts w:hint="eastAsia" w:ascii="仿宋_GB2312" w:hAnsi="宋体" w:eastAsia="仿宋_GB2312" w:cs="宋体"/>
                <w:color w:val="000000"/>
                <w:sz w:val="18"/>
                <w:szCs w:val="18"/>
                <w:lang w:val="en-US" w:eastAsia="zh-CN"/>
              </w:rPr>
            </w:pPr>
          </w:p>
        </w:tc>
        <w:tc>
          <w:tcPr>
            <w:tcW w:w="683" w:type="dxa"/>
            <w:vMerge w:val="continue"/>
            <w:tcBorders/>
            <w:vAlign w:val="center"/>
          </w:tcPr>
          <w:p>
            <w:pPr>
              <w:rPr>
                <w:rFonts w:hint="eastAsia" w:ascii="仿宋_GB2312" w:hAnsi="宋体" w:eastAsia="仿宋_GB2312" w:cs="宋体"/>
                <w:color w:val="000000"/>
                <w:sz w:val="18"/>
                <w:szCs w:val="18"/>
                <w:lang w:val="en-US" w:eastAsia="zh-CN"/>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文明旅游工作</w:t>
            </w:r>
          </w:p>
        </w:tc>
        <w:tc>
          <w:tcPr>
            <w:tcW w:w="2340" w:type="dxa"/>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计划、总结及相关信息</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widowControl/>
              <w:textAlignment w:val="center"/>
              <w:rPr>
                <w:rFonts w:hint="eastAsia" w:ascii="仿宋_GB2312" w:hAnsi="仿宋" w:eastAsia="仿宋_GB2312"/>
                <w:color w:val="000000"/>
                <w:sz w:val="18"/>
                <w:szCs w:val="18"/>
                <w:lang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p>
          <w:p>
            <w:pPr>
              <w:widowControl/>
              <w:textAlignment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微信公众号</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restart"/>
            <w:tcBorders/>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tc>
        <w:tc>
          <w:tcPr>
            <w:tcW w:w="683" w:type="dxa"/>
            <w:vMerge w:val="restart"/>
            <w:tcBorders/>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文旅</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市场</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执法</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工作</w:t>
            </w:r>
          </w:p>
        </w:tc>
        <w:tc>
          <w:tcPr>
            <w:tcW w:w="757" w:type="dxa"/>
            <w:shd w:val="clear" w:color="auto" w:fill="auto"/>
            <w:vAlign w:val="center"/>
          </w:tcPr>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行政</w:t>
            </w:r>
          </w:p>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许可</w:t>
            </w:r>
          </w:p>
        </w:tc>
        <w:tc>
          <w:tcPr>
            <w:tcW w:w="2340" w:type="dxa"/>
            <w:shd w:val="clear" w:color="auto" w:fill="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Times New Roman" w:eastAsia="仿宋_GB2312"/>
                <w:sz w:val="18"/>
                <w:szCs w:val="18"/>
              </w:rPr>
              <w:t>《行政许可法》、《政府信息公开条例》、《互联网上网服务营业场所管理条例》</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 xml:space="preserve">《文化部关于落实“先照后证”改进文化市场行政审批工作的通知》 </w:t>
            </w:r>
          </w:p>
        </w:tc>
        <w:tc>
          <w:tcPr>
            <w:tcW w:w="1620" w:type="dxa"/>
            <w:shd w:val="clear" w:color="auto" w:fill="auto"/>
            <w:vAlign w:val="center"/>
          </w:tcPr>
          <w:p>
            <w:pPr>
              <w:rPr>
                <w:rFonts w:hint="eastAsia" w:ascii="仿宋_GB2312" w:hAnsi="仿宋" w:eastAsia="仿宋_GB2312" w:cs="宋体"/>
                <w:color w:val="000000"/>
                <w:sz w:val="18"/>
                <w:szCs w:val="18"/>
                <w:lang w:val="en-US" w:eastAsia="zh-CN"/>
              </w:rPr>
            </w:pPr>
            <w:r>
              <w:rPr>
                <w:rFonts w:hint="eastAsia" w:ascii="仿宋_GB2312" w:hAnsi="Times New Roman" w:eastAsia="仿宋_GB2312"/>
                <w:sz w:val="18"/>
                <w:szCs w:val="18"/>
              </w:rPr>
              <w:t>信息形成或变更之日起20个工作日内公开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shd w:val="clear" w:color="auto" w:fill="auto"/>
            <w:vAlign w:val="center"/>
          </w:tcPr>
          <w:p>
            <w:pPr>
              <w:widowControl/>
              <w:textAlignment w:val="center"/>
              <w:rPr>
                <w:rFonts w:hint="eastAsia" w:ascii="仿宋_GB2312" w:hAnsi="仿宋" w:eastAsia="仿宋_GB2312"/>
                <w:color w:val="000000"/>
                <w:sz w:val="18"/>
                <w:szCs w:val="18"/>
              </w:rPr>
            </w:pPr>
            <w:r>
              <w:rPr>
                <w:rFonts w:hint="eastAsia" w:ascii="仿宋_GB2312" w:hAnsi="Times New Roman" w:eastAsia="仿宋_GB2312"/>
                <w:sz w:val="18"/>
                <w:szCs w:val="18"/>
              </w:rPr>
              <w:t xml:space="preserve">■政府网站       ■公开查阅点     ■政务服务中心  </w:t>
            </w:r>
          </w:p>
        </w:tc>
        <w:tc>
          <w:tcPr>
            <w:tcW w:w="540"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noWrap/>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noWrap/>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tcBorders/>
          </w:tcPr>
          <w:p>
            <w:pPr>
              <w:jc w:val="center"/>
              <w:rPr>
                <w:rFonts w:hint="default" w:ascii="仿宋_GB2312" w:hAnsi="宋体" w:eastAsia="仿宋_GB2312" w:cs="宋体"/>
                <w:color w:val="000000"/>
                <w:sz w:val="18"/>
                <w:szCs w:val="18"/>
                <w:lang w:val="en-US" w:eastAsia="zh-CN"/>
              </w:rPr>
            </w:pPr>
          </w:p>
        </w:tc>
        <w:tc>
          <w:tcPr>
            <w:tcW w:w="683" w:type="dxa"/>
            <w:vMerge w:val="continue"/>
            <w:tcBorders/>
          </w:tcPr>
          <w:p>
            <w:pPr>
              <w:rPr>
                <w:rFonts w:hint="eastAsia" w:ascii="仿宋_GB2312" w:hAnsi="宋体" w:eastAsia="仿宋_GB2312" w:cs="宋体"/>
                <w:color w:val="000000"/>
                <w:sz w:val="18"/>
                <w:szCs w:val="18"/>
                <w:lang w:val="en-US" w:eastAsia="zh-CN"/>
              </w:rPr>
            </w:pPr>
          </w:p>
        </w:tc>
        <w:tc>
          <w:tcPr>
            <w:tcW w:w="0" w:type="auto"/>
          </w:tcPr>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行政</w:t>
            </w:r>
          </w:p>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处罚</w:t>
            </w:r>
          </w:p>
        </w:tc>
        <w:tc>
          <w:tcPr>
            <w:tcW w:w="2340" w:type="dxa"/>
            <w:tcBorders/>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0" w:type="auto"/>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w:t>
            </w: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《艺术品经营管理办法》</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《网络游戏管理暂行办法》</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《社会艺术水平考级管理办法》</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 xml:space="preserve">《互联网文化管理暂行规定》（文化部令第51号，第57号予以修改）  </w:t>
            </w:r>
          </w:p>
        </w:tc>
        <w:tc>
          <w:tcPr>
            <w:tcW w:w="0" w:type="auto"/>
          </w:tcPr>
          <w:p>
            <w:pPr>
              <w:rPr>
                <w:rFonts w:hint="eastAsia" w:ascii="仿宋_GB2312" w:hAnsi="Times New Roman" w:eastAsia="仿宋_GB2312"/>
                <w:sz w:val="18"/>
                <w:szCs w:val="18"/>
              </w:rPr>
            </w:pPr>
          </w:p>
          <w:p>
            <w:pPr>
              <w:rPr>
                <w:rFonts w:hint="eastAsia" w:ascii="仿宋_GB2312" w:hAnsi="Times New Roman" w:eastAsia="仿宋_GB2312"/>
                <w:sz w:val="18"/>
                <w:szCs w:val="18"/>
              </w:rPr>
            </w:pPr>
          </w:p>
          <w:p>
            <w:pPr>
              <w:rPr>
                <w:rFonts w:hint="eastAsia" w:ascii="仿宋_GB2312" w:hAnsi="Times New Roman" w:eastAsia="仿宋_GB2312"/>
                <w:sz w:val="18"/>
                <w:szCs w:val="18"/>
              </w:rPr>
            </w:pPr>
          </w:p>
          <w:p>
            <w:pPr>
              <w:rPr>
                <w:rFonts w:hint="eastAsia" w:ascii="仿宋_GB2312" w:hAnsi="Times New Roman" w:eastAsia="仿宋_GB2312"/>
                <w:sz w:val="18"/>
                <w:szCs w:val="18"/>
              </w:rPr>
            </w:pPr>
          </w:p>
          <w:p>
            <w:pPr>
              <w:rPr>
                <w:rFonts w:hint="eastAsia" w:ascii="仿宋_GB2312" w:hAnsi="仿宋" w:eastAsia="仿宋_GB2312" w:cs="宋体"/>
                <w:color w:val="000000"/>
                <w:sz w:val="18"/>
                <w:szCs w:val="18"/>
                <w:lang w:val="en-US" w:eastAsia="zh-CN"/>
              </w:rPr>
            </w:pPr>
            <w:r>
              <w:rPr>
                <w:rFonts w:hint="eastAsia" w:ascii="仿宋_GB2312" w:hAnsi="Times New Roman" w:eastAsia="仿宋_GB2312"/>
                <w:sz w:val="18"/>
                <w:szCs w:val="18"/>
              </w:rPr>
              <w:t>信息形成或变更之日起20个工作日内公开</w:t>
            </w:r>
          </w:p>
        </w:tc>
        <w:tc>
          <w:tcPr>
            <w:tcW w:w="0" w:type="auto"/>
          </w:tcPr>
          <w:p>
            <w:pPr>
              <w:rPr>
                <w:rFonts w:hint="eastAsia" w:ascii="仿宋_GB2312" w:hAnsi="仿宋" w:eastAsia="仿宋_GB2312"/>
                <w:color w:val="000000"/>
                <w:sz w:val="18"/>
                <w:szCs w:val="18"/>
                <w:lang w:val="en-US" w:eastAsia="zh-CN"/>
              </w:rPr>
            </w:pPr>
          </w:p>
          <w:p>
            <w:pPr>
              <w:rPr>
                <w:rFonts w:hint="eastAsia" w:ascii="仿宋_GB2312" w:hAnsi="仿宋" w:eastAsia="仿宋_GB2312"/>
                <w:color w:val="000000"/>
                <w:sz w:val="18"/>
                <w:szCs w:val="18"/>
                <w:lang w:val="en-US" w:eastAsia="zh-CN"/>
              </w:rPr>
            </w:pPr>
          </w:p>
          <w:p>
            <w:pPr>
              <w:rPr>
                <w:rFonts w:hint="eastAsia" w:ascii="仿宋_GB2312" w:hAnsi="仿宋" w:eastAsia="仿宋_GB2312"/>
                <w:color w:val="000000"/>
                <w:sz w:val="18"/>
                <w:szCs w:val="18"/>
                <w:lang w:val="en-US" w:eastAsia="zh-CN"/>
              </w:rPr>
            </w:pPr>
          </w:p>
          <w:p>
            <w:pPr>
              <w:rPr>
                <w:rFonts w:hint="eastAsia" w:ascii="仿宋_GB2312" w:hAnsi="仿宋" w:eastAsia="仿宋_GB2312"/>
                <w:color w:val="000000"/>
                <w:sz w:val="18"/>
                <w:szCs w:val="18"/>
                <w:lang w:val="en-US" w:eastAsia="zh-CN"/>
              </w:rPr>
            </w:pP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tcPr>
          <w:p>
            <w:pPr>
              <w:widowControl/>
              <w:textAlignment w:val="center"/>
              <w:rPr>
                <w:rFonts w:hint="eastAsia" w:ascii="仿宋_GB2312" w:hAnsi="Times New Roman" w:eastAsia="仿宋_GB2312"/>
                <w:sz w:val="18"/>
                <w:szCs w:val="18"/>
              </w:rPr>
            </w:pPr>
          </w:p>
          <w:p>
            <w:pPr>
              <w:widowControl/>
              <w:textAlignment w:val="center"/>
              <w:rPr>
                <w:rFonts w:hint="eastAsia" w:ascii="仿宋_GB2312" w:hAnsi="Times New Roman" w:eastAsia="仿宋_GB2312"/>
                <w:sz w:val="18"/>
                <w:szCs w:val="18"/>
              </w:rPr>
            </w:pPr>
          </w:p>
          <w:p>
            <w:pPr>
              <w:widowControl/>
              <w:textAlignment w:val="center"/>
              <w:rPr>
                <w:rFonts w:hint="eastAsia" w:ascii="仿宋_GB2312" w:hAnsi="Times New Roman" w:eastAsia="仿宋_GB2312"/>
                <w:sz w:val="18"/>
                <w:szCs w:val="18"/>
              </w:rPr>
            </w:pPr>
          </w:p>
          <w:p>
            <w:pPr>
              <w:widowControl/>
              <w:textAlignment w:val="center"/>
              <w:rPr>
                <w:rFonts w:hint="eastAsia" w:ascii="仿宋_GB2312" w:hAnsi="Times New Roman" w:eastAsia="仿宋_GB2312"/>
                <w:sz w:val="18"/>
                <w:szCs w:val="18"/>
              </w:rPr>
            </w:pPr>
          </w:p>
          <w:p>
            <w:pPr>
              <w:widowControl/>
              <w:textAlignment w:val="center"/>
              <w:rPr>
                <w:rFonts w:hint="eastAsia" w:ascii="仿宋_GB2312" w:hAnsi="仿宋" w:eastAsia="仿宋_GB2312"/>
                <w:color w:val="000000"/>
                <w:sz w:val="18"/>
                <w:szCs w:val="18"/>
              </w:rPr>
            </w:pPr>
            <w:r>
              <w:rPr>
                <w:rFonts w:hint="eastAsia" w:ascii="仿宋_GB2312" w:hAnsi="Times New Roman" w:eastAsia="仿宋_GB2312"/>
                <w:sz w:val="18"/>
                <w:szCs w:val="18"/>
              </w:rPr>
              <w:t xml:space="preserve">■政府网站       ■公开查阅点     ■政务服务中心 </w:t>
            </w:r>
          </w:p>
        </w:tc>
        <w:tc>
          <w:tcPr>
            <w:tcW w:w="540" w:type="dxa"/>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0" w:type="auto"/>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0" w:type="auto"/>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0" w:type="auto"/>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tcBorders/>
          </w:tcPr>
          <w:p>
            <w:pPr>
              <w:jc w:val="center"/>
              <w:rPr>
                <w:rFonts w:hint="default" w:ascii="仿宋_GB2312" w:hAnsi="宋体" w:eastAsia="仿宋_GB2312" w:cs="宋体"/>
                <w:color w:val="000000"/>
                <w:sz w:val="18"/>
                <w:szCs w:val="18"/>
                <w:lang w:val="en-US" w:eastAsia="zh-CN"/>
              </w:rPr>
            </w:pPr>
          </w:p>
        </w:tc>
        <w:tc>
          <w:tcPr>
            <w:tcW w:w="683" w:type="dxa"/>
            <w:vMerge w:val="continue"/>
            <w:tcBorders/>
          </w:tcPr>
          <w:p>
            <w:pPr>
              <w:rPr>
                <w:rFonts w:hint="eastAsia" w:ascii="仿宋_GB2312" w:hAnsi="宋体" w:eastAsia="仿宋_GB2312" w:cs="宋体"/>
                <w:color w:val="000000"/>
                <w:sz w:val="18"/>
                <w:szCs w:val="18"/>
                <w:lang w:val="en-US" w:eastAsia="zh-CN"/>
              </w:rPr>
            </w:pPr>
          </w:p>
        </w:tc>
        <w:tc>
          <w:tcPr>
            <w:tcW w:w="0" w:type="auto"/>
          </w:tcPr>
          <w:p>
            <w:pPr>
              <w:rPr>
                <w:rFonts w:hint="eastAsia" w:ascii="仿宋_GB2312" w:hAnsi="宋体" w:eastAsia="仿宋_GB2312" w:cs="宋体"/>
                <w:color w:val="000000"/>
                <w:sz w:val="18"/>
                <w:szCs w:val="18"/>
                <w:lang w:val="en-US" w:eastAsia="zh-CN"/>
              </w:rPr>
            </w:pPr>
          </w:p>
        </w:tc>
        <w:tc>
          <w:tcPr>
            <w:tcW w:w="2340" w:type="dxa"/>
            <w:tcBorders/>
            <w:vAlign w:val="center"/>
          </w:tcPr>
          <w:p>
            <w:pPr>
              <w:spacing w:line="240" w:lineRule="exact"/>
              <w:rPr>
                <w:rFonts w:hint="eastAsia" w:ascii="仿宋_GB2312" w:hAnsi="Times New Roman" w:eastAsia="仿宋_GB2312" w:cs="Times New Roman"/>
                <w:kern w:val="2"/>
                <w:sz w:val="18"/>
                <w:szCs w:val="18"/>
                <w:lang w:val="en-US" w:eastAsia="zh-CN" w:bidi="ar-SA"/>
              </w:rPr>
            </w:pPr>
          </w:p>
        </w:tc>
        <w:tc>
          <w:tcPr>
            <w:tcW w:w="0" w:type="auto"/>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0" w:type="auto"/>
          </w:tcPr>
          <w:p>
            <w:pPr>
              <w:rPr>
                <w:rFonts w:hint="eastAsia" w:ascii="仿宋_GB2312" w:hAnsi="仿宋" w:eastAsia="仿宋_GB2312" w:cs="宋体"/>
                <w:color w:val="000000"/>
                <w:sz w:val="18"/>
                <w:szCs w:val="18"/>
                <w:lang w:val="en-US" w:eastAsia="zh-CN"/>
              </w:rPr>
            </w:pPr>
          </w:p>
        </w:tc>
        <w:tc>
          <w:tcPr>
            <w:tcW w:w="0" w:type="auto"/>
          </w:tcPr>
          <w:p>
            <w:pPr>
              <w:rPr>
                <w:rFonts w:hint="eastAsia" w:ascii="仿宋_GB2312" w:hAnsi="仿宋" w:eastAsia="仿宋_GB2312"/>
                <w:color w:val="000000"/>
                <w:sz w:val="18"/>
                <w:szCs w:val="18"/>
                <w:lang w:val="en-US" w:eastAsia="zh-CN"/>
              </w:rPr>
            </w:pPr>
          </w:p>
        </w:tc>
        <w:tc>
          <w:tcPr>
            <w:tcW w:w="1516" w:type="dxa"/>
          </w:tcPr>
          <w:p>
            <w:pPr>
              <w:widowControl/>
              <w:textAlignment w:val="center"/>
              <w:rPr>
                <w:rFonts w:hint="eastAsia" w:ascii="仿宋_GB2312" w:hAnsi="仿宋" w:eastAsia="仿宋_GB2312"/>
                <w:color w:val="000000"/>
                <w:sz w:val="18"/>
                <w:szCs w:val="18"/>
              </w:rPr>
            </w:pPr>
          </w:p>
        </w:tc>
        <w:tc>
          <w:tcPr>
            <w:tcW w:w="540" w:type="dxa"/>
          </w:tcPr>
          <w:p>
            <w:pPr>
              <w:widowControl/>
              <w:jc w:val="center"/>
              <w:textAlignment w:val="center"/>
              <w:rPr>
                <w:rFonts w:hint="eastAsia" w:ascii="仿宋_GB2312" w:hAnsi="宋体" w:eastAsia="仿宋_GB2312"/>
                <w:color w:val="000000"/>
                <w:sz w:val="18"/>
                <w:szCs w:val="18"/>
              </w:rPr>
            </w:pPr>
          </w:p>
        </w:tc>
        <w:tc>
          <w:tcPr>
            <w:tcW w:w="0" w:type="auto"/>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0" w:type="auto"/>
          </w:tcPr>
          <w:p>
            <w:pPr>
              <w:widowControl/>
              <w:jc w:val="center"/>
              <w:textAlignment w:val="center"/>
              <w:rPr>
                <w:rFonts w:hint="eastAsia" w:ascii="仿宋_GB2312" w:hAnsi="宋体" w:eastAsia="仿宋_GB2312"/>
                <w:color w:val="000000"/>
                <w:sz w:val="18"/>
                <w:szCs w:val="18"/>
              </w:rPr>
            </w:pPr>
          </w:p>
        </w:tc>
        <w:tc>
          <w:tcPr>
            <w:tcW w:w="0" w:type="auto"/>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6" w:hRule="atLeast"/>
        </w:trPr>
        <w:tc>
          <w:tcPr>
            <w:tcW w:w="540" w:type="dxa"/>
            <w:vMerge w:val="continue"/>
            <w:tcBorders/>
          </w:tcPr>
          <w:p>
            <w:pPr>
              <w:jc w:val="center"/>
              <w:rPr>
                <w:rFonts w:hint="default" w:ascii="仿宋_GB2312" w:hAnsi="宋体" w:eastAsia="仿宋_GB2312" w:cs="宋体"/>
                <w:color w:val="000000"/>
                <w:sz w:val="18"/>
                <w:szCs w:val="18"/>
                <w:lang w:val="en-US" w:eastAsia="zh-CN"/>
              </w:rPr>
            </w:pPr>
          </w:p>
        </w:tc>
        <w:tc>
          <w:tcPr>
            <w:tcW w:w="683" w:type="dxa"/>
            <w:vMerge w:val="continue"/>
            <w:tcBorders/>
          </w:tcPr>
          <w:p>
            <w:pPr>
              <w:rPr>
                <w:rFonts w:hint="eastAsia" w:ascii="仿宋_GB2312" w:hAnsi="宋体" w:eastAsia="仿宋_GB2312" w:cs="宋体"/>
                <w:color w:val="000000"/>
                <w:sz w:val="18"/>
                <w:szCs w:val="18"/>
                <w:lang w:val="en-US" w:eastAsia="zh-CN"/>
              </w:rPr>
            </w:pPr>
          </w:p>
        </w:tc>
        <w:tc>
          <w:tcPr>
            <w:tcW w:w="0" w:type="auto"/>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行政</w:t>
            </w:r>
          </w:p>
          <w:p>
            <w:pPr>
              <w:jc w:val="cente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强制</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0" w:type="auto"/>
          </w:tcPr>
          <w:p>
            <w:pPr>
              <w:rPr>
                <w:rFonts w:hint="eastAsia" w:ascii="仿宋_GB2312" w:hAnsi="宋体" w:eastAsia="仿宋_GB2312"/>
                <w:color w:val="000000"/>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0" w:type="auto"/>
          </w:tcPr>
          <w:p>
            <w:pPr>
              <w:rPr>
                <w:rFonts w:hint="eastAsia" w:ascii="仿宋_GB2312" w:hAnsi="仿宋" w:eastAsia="仿宋_GB2312" w:cs="宋体"/>
                <w:color w:val="000000"/>
                <w:sz w:val="18"/>
                <w:szCs w:val="18"/>
                <w:lang w:val="en-US" w:eastAsia="zh-CN"/>
              </w:rPr>
            </w:pPr>
            <w:r>
              <w:rPr>
                <w:rFonts w:hint="eastAsia" w:ascii="仿宋_GB2312" w:hAnsi="Times New Roman" w:eastAsia="仿宋_GB2312"/>
                <w:sz w:val="18"/>
                <w:szCs w:val="18"/>
              </w:rPr>
              <w:t>信息形成或变更之日起20个工作日内公开</w:t>
            </w:r>
          </w:p>
        </w:tc>
        <w:tc>
          <w:tcPr>
            <w:tcW w:w="0" w:type="auto"/>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鄂托克前旗文化和旅游局</w:t>
            </w:r>
          </w:p>
        </w:tc>
        <w:tc>
          <w:tcPr>
            <w:tcW w:w="1516" w:type="dxa"/>
          </w:tcPr>
          <w:p>
            <w:pPr>
              <w:widowControl/>
              <w:textAlignment w:val="center"/>
              <w:rPr>
                <w:rFonts w:hint="eastAsia" w:ascii="仿宋_GB2312" w:hAnsi="仿宋" w:eastAsia="仿宋_GB2312"/>
                <w:color w:val="000000"/>
                <w:sz w:val="18"/>
                <w:szCs w:val="18"/>
              </w:rPr>
            </w:pPr>
            <w:r>
              <w:rPr>
                <w:rFonts w:hint="eastAsia" w:ascii="仿宋_GB2312" w:hAnsi="Times New Roman" w:eastAsia="仿宋_GB2312"/>
                <w:sz w:val="18"/>
                <w:szCs w:val="18"/>
              </w:rPr>
              <w:t xml:space="preserve">■政府网站       ■公开查阅点     ■政务服务中心 </w:t>
            </w:r>
          </w:p>
        </w:tc>
        <w:tc>
          <w:tcPr>
            <w:tcW w:w="540" w:type="dxa"/>
          </w:tcPr>
          <w:p>
            <w:pPr>
              <w:widowControl/>
              <w:jc w:val="center"/>
              <w:textAlignment w:val="center"/>
              <w:rPr>
                <w:rFonts w:hint="eastAsia" w:ascii="仿宋_GB2312" w:hAnsi="宋体" w:eastAsia="仿宋_GB2312"/>
                <w:color w:val="000000"/>
                <w:sz w:val="18"/>
                <w:szCs w:val="18"/>
              </w:rPr>
            </w:pPr>
          </w:p>
        </w:tc>
        <w:tc>
          <w:tcPr>
            <w:tcW w:w="0" w:type="auto"/>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0" w:type="auto"/>
          </w:tcPr>
          <w:p>
            <w:pPr>
              <w:widowControl/>
              <w:jc w:val="center"/>
              <w:textAlignment w:val="center"/>
              <w:rPr>
                <w:rFonts w:hint="eastAsia" w:ascii="仿宋_GB2312" w:hAnsi="宋体" w:eastAsia="仿宋_GB2312"/>
                <w:color w:val="000000"/>
                <w:sz w:val="18"/>
                <w:szCs w:val="18"/>
              </w:rPr>
            </w:pPr>
          </w:p>
        </w:tc>
        <w:tc>
          <w:tcPr>
            <w:tcW w:w="0" w:type="auto"/>
          </w:tcPr>
          <w:p>
            <w:pPr>
              <w:jc w:val="center"/>
              <w:rPr>
                <w:rFonts w:hint="eastAsia" w:ascii="仿宋_GB2312" w:hAnsi="仿宋" w:eastAsia="仿宋_GB2312" w:cs="宋体"/>
                <w:color w:val="000000"/>
                <w:sz w:val="18"/>
                <w:szCs w:val="18"/>
              </w:rPr>
            </w:pPr>
          </w:p>
        </w:tc>
      </w:tr>
    </w:tbl>
    <w:p>
      <w:pPr>
        <w:rPr>
          <w:rFonts w:hint="eastAsia" w:ascii="宋体" w:hAnsi="宋体" w:eastAsia="宋体" w:cs="宋体"/>
        </w:rPr>
      </w:pPr>
    </w:p>
    <w:tbl>
      <w:tblPr>
        <w:tblStyle w:val="10"/>
        <w:tblpPr w:leftFromText="180" w:rightFromText="180" w:vertAnchor="text" w:tblpX="15812" w:tblpY="-128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vertAlign w:val="baseline"/>
              </w:rPr>
            </w:pPr>
          </w:p>
        </w:tc>
      </w:tr>
    </w:tbl>
    <w:p>
      <w:pPr>
        <w:rPr>
          <w:rFonts w:hint="eastAsia" w:eastAsia="宋体"/>
          <w:lang w:val="en-US" w:eastAsia="zh-CN"/>
        </w:rPr>
      </w:pPr>
    </w:p>
    <w:p>
      <w:pPr>
        <w:rPr>
          <w:rFonts w:hint="eastAsia" w:ascii="宋体" w:hAnsi="宋体" w:eastAsia="宋体" w:cs="宋体"/>
        </w:rPr>
      </w:pPr>
      <w:r>
        <w:rPr>
          <w:rFonts w:hint="eastAsia"/>
        </w:rPr>
        <w:t xml:space="preserve">    </w:t>
      </w:r>
      <w:r>
        <w:rPr>
          <w:rFonts w:hint="eastAsia"/>
          <w:b/>
          <w:bCs/>
        </w:rPr>
        <w:t>【填表说明】</w:t>
      </w:r>
      <w:r>
        <w:rPr>
          <w:rFonts w:hint="eastAsia" w:ascii="宋体" w:hAnsi="宋体" w:eastAsia="宋体" w:cs="宋体"/>
        </w:rPr>
        <w:t>1.</w:t>
      </w:r>
      <w:r>
        <w:rPr>
          <w:rFonts w:hint="eastAsia" w:ascii="宋体" w:hAnsi="宋体" w:eastAsia="宋体" w:cs="宋体"/>
          <w:lang w:val="en-US" w:eastAsia="zh-CN"/>
        </w:rPr>
        <w:t>一级事项，是指</w:t>
      </w:r>
      <w:r>
        <w:rPr>
          <w:rFonts w:hint="eastAsia" w:ascii="宋体" w:hAnsi="宋体" w:eastAsia="宋体" w:cs="宋体"/>
        </w:rPr>
        <w:t>具体职责</w:t>
      </w:r>
      <w:r>
        <w:rPr>
          <w:rFonts w:hint="eastAsia" w:ascii="宋体" w:hAnsi="宋体" w:eastAsia="宋体" w:cs="宋体"/>
          <w:lang w:val="en-US" w:eastAsia="zh-CN"/>
        </w:rPr>
        <w:t>或行业领域等；2.二级事项，是指一级事项的细化事项，更具体的事项；3.公开内容，</w:t>
      </w:r>
      <w:r>
        <w:rPr>
          <w:rFonts w:hint="eastAsia" w:ascii="宋体" w:hAnsi="宋体" w:eastAsia="宋体" w:cs="宋体"/>
        </w:rPr>
        <w:t>是指</w:t>
      </w:r>
      <w:r>
        <w:rPr>
          <w:rFonts w:hint="eastAsia" w:ascii="宋体" w:hAnsi="宋体" w:eastAsia="宋体" w:cs="宋体"/>
          <w:lang w:val="en-US" w:eastAsia="zh-CN"/>
        </w:rPr>
        <w:t>二级</w:t>
      </w:r>
      <w:r>
        <w:rPr>
          <w:rFonts w:hint="eastAsia" w:ascii="宋体" w:hAnsi="宋体" w:eastAsia="宋体" w:cs="宋体"/>
        </w:rPr>
        <w:t>事项</w:t>
      </w:r>
      <w:r>
        <w:rPr>
          <w:rFonts w:hint="eastAsia" w:ascii="宋体" w:hAnsi="宋体" w:eastAsia="宋体" w:cs="宋体"/>
          <w:lang w:val="en-US" w:eastAsia="zh-CN"/>
        </w:rPr>
        <w:t>中</w:t>
      </w:r>
      <w:r>
        <w:rPr>
          <w:rFonts w:hint="eastAsia" w:ascii="宋体" w:hAnsi="宋体" w:eastAsia="宋体" w:cs="宋体"/>
        </w:rPr>
        <w:t>应包括的具体要素</w:t>
      </w:r>
      <w:r>
        <w:rPr>
          <w:rFonts w:hint="eastAsia" w:ascii="宋体" w:hAnsi="宋体" w:eastAsia="宋体" w:cs="宋体"/>
          <w:lang w:val="en-US" w:eastAsia="zh-CN"/>
        </w:rPr>
        <w:t>或法律法规和政策等中应包括的具体内容</w:t>
      </w:r>
      <w:r>
        <w:rPr>
          <w:rFonts w:hint="eastAsia" w:ascii="宋体" w:hAnsi="宋体" w:eastAsia="宋体" w:cs="宋体"/>
        </w:rPr>
        <w:t>；</w:t>
      </w:r>
      <w:r>
        <w:rPr>
          <w:rFonts w:hint="eastAsia" w:ascii="宋体" w:hAnsi="宋体" w:eastAsia="宋体" w:cs="宋体"/>
          <w:lang w:val="en-US" w:eastAsia="zh-CN"/>
        </w:rPr>
        <w:t>4.公开依据，是指公开事项的具体依据的法律法规、政策等文件；5.公开时限，是指根法律法规、政策文件的公开时限，可以根据工作实际将公开时限压合情合理范围内；6.公开主体，是指行政机关（或从事政府具体工作企事业单位）或授权的机构；6.公开渠道和载体，是</w:t>
      </w:r>
      <w:r>
        <w:rPr>
          <w:rFonts w:hint="eastAsia" w:ascii="宋体" w:hAnsi="宋体" w:eastAsia="宋体" w:cs="宋体"/>
        </w:rPr>
        <w:t>指拟公开事项选择</w:t>
      </w:r>
      <w:r>
        <w:rPr>
          <w:rFonts w:hint="eastAsia" w:ascii="宋体" w:hAnsi="宋体" w:eastAsia="宋体" w:cs="宋体"/>
          <w:lang w:val="en-US" w:eastAsia="zh-CN"/>
        </w:rPr>
        <w:t>的</w:t>
      </w:r>
      <w:r>
        <w:rPr>
          <w:rFonts w:hint="eastAsia" w:ascii="宋体" w:hAnsi="宋体" w:eastAsia="宋体" w:cs="宋体"/>
        </w:rPr>
        <w:t>政府网站、微博、微信、电视、报纸、公示公告栏</w:t>
      </w:r>
      <w:r>
        <w:rPr>
          <w:rFonts w:hint="eastAsia" w:ascii="宋体" w:hAnsi="宋体" w:eastAsia="宋体" w:cs="宋体"/>
          <w:lang w:eastAsia="zh-CN"/>
        </w:rPr>
        <w:t>、</w:t>
      </w:r>
      <w:r>
        <w:rPr>
          <w:rFonts w:hint="eastAsia" w:ascii="宋体" w:hAnsi="宋体" w:eastAsia="宋体" w:cs="宋体"/>
          <w:lang w:val="en-US" w:eastAsia="zh-CN"/>
        </w:rPr>
        <w:t>公开查阅点</w:t>
      </w:r>
      <w:r>
        <w:rPr>
          <w:rFonts w:hint="eastAsia" w:ascii="宋体" w:hAnsi="宋体" w:eastAsia="宋体" w:cs="宋体"/>
        </w:rPr>
        <w:t>等媒介</w:t>
      </w:r>
      <w:r>
        <w:rPr>
          <w:rFonts w:hint="eastAsia" w:ascii="宋体" w:hAnsi="宋体" w:eastAsia="宋体" w:cs="宋体"/>
          <w:lang w:eastAsia="zh-CN"/>
        </w:rPr>
        <w:t>，</w:t>
      </w:r>
      <w:r>
        <w:rPr>
          <w:rFonts w:hint="eastAsia" w:ascii="宋体" w:hAnsi="宋体" w:eastAsia="宋体" w:cs="宋体"/>
          <w:lang w:val="en-US" w:eastAsia="zh-CN"/>
        </w:rPr>
        <w:t>可以多种渠道；7.公开对象，是指</w:t>
      </w:r>
      <w:r>
        <w:rPr>
          <w:rFonts w:hint="eastAsia" w:ascii="宋体" w:hAnsi="宋体" w:eastAsia="宋体" w:cs="宋体"/>
        </w:rPr>
        <w:t>拟公开事项</w:t>
      </w:r>
      <w:r>
        <w:rPr>
          <w:rFonts w:hint="eastAsia" w:ascii="宋体" w:hAnsi="宋体" w:eastAsia="宋体" w:cs="宋体"/>
          <w:lang w:val="en-US" w:eastAsia="zh-CN"/>
        </w:rPr>
        <w:t>公开群体，如全社会、特殊群众；8.公开方式，是指</w:t>
      </w:r>
      <w:r>
        <w:rPr>
          <w:rFonts w:hint="eastAsia" w:ascii="宋体" w:hAnsi="宋体" w:eastAsia="宋体" w:cs="宋体"/>
        </w:rPr>
        <w:t>拟公开事项</w:t>
      </w:r>
      <w:r>
        <w:rPr>
          <w:rFonts w:hint="eastAsia" w:ascii="宋体" w:hAnsi="宋体" w:eastAsia="宋体" w:cs="宋体"/>
          <w:lang w:val="en-US" w:eastAsia="zh-CN"/>
        </w:rPr>
        <w:t>是属于主动公开，还是依申请公开</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E6D63"/>
    <w:rsid w:val="002967AA"/>
    <w:rsid w:val="002C0969"/>
    <w:rsid w:val="002E0878"/>
    <w:rsid w:val="00416393"/>
    <w:rsid w:val="018501CF"/>
    <w:rsid w:val="038A6B1A"/>
    <w:rsid w:val="051F73AF"/>
    <w:rsid w:val="0538333E"/>
    <w:rsid w:val="054C32D4"/>
    <w:rsid w:val="05A170DD"/>
    <w:rsid w:val="0634643B"/>
    <w:rsid w:val="065B08B6"/>
    <w:rsid w:val="09125D07"/>
    <w:rsid w:val="0A0A1073"/>
    <w:rsid w:val="0AB50875"/>
    <w:rsid w:val="0C904A34"/>
    <w:rsid w:val="10C14ED0"/>
    <w:rsid w:val="1257364B"/>
    <w:rsid w:val="15650C5C"/>
    <w:rsid w:val="162F0796"/>
    <w:rsid w:val="1CAE2F0B"/>
    <w:rsid w:val="1E2B2560"/>
    <w:rsid w:val="23795B34"/>
    <w:rsid w:val="26A2584D"/>
    <w:rsid w:val="278D3881"/>
    <w:rsid w:val="29035121"/>
    <w:rsid w:val="2AFA6EC7"/>
    <w:rsid w:val="2BEE7475"/>
    <w:rsid w:val="2C2B0C82"/>
    <w:rsid w:val="2E252A5E"/>
    <w:rsid w:val="2FC148AD"/>
    <w:rsid w:val="31FD6F44"/>
    <w:rsid w:val="32516598"/>
    <w:rsid w:val="32AC0031"/>
    <w:rsid w:val="33274236"/>
    <w:rsid w:val="3329126A"/>
    <w:rsid w:val="34B91E81"/>
    <w:rsid w:val="359C22D7"/>
    <w:rsid w:val="370657A4"/>
    <w:rsid w:val="37E56179"/>
    <w:rsid w:val="38180C3B"/>
    <w:rsid w:val="3B7B392D"/>
    <w:rsid w:val="3E745F50"/>
    <w:rsid w:val="40FF55F9"/>
    <w:rsid w:val="45876421"/>
    <w:rsid w:val="46660A97"/>
    <w:rsid w:val="492D4369"/>
    <w:rsid w:val="49C858F7"/>
    <w:rsid w:val="4A134EC0"/>
    <w:rsid w:val="4B6B11E3"/>
    <w:rsid w:val="4C6249B5"/>
    <w:rsid w:val="4FEF0D50"/>
    <w:rsid w:val="50034B15"/>
    <w:rsid w:val="50157938"/>
    <w:rsid w:val="516A5236"/>
    <w:rsid w:val="52F9031A"/>
    <w:rsid w:val="533A0C1D"/>
    <w:rsid w:val="53E541C2"/>
    <w:rsid w:val="5A5E4A4B"/>
    <w:rsid w:val="5AB65F05"/>
    <w:rsid w:val="5CE61AF0"/>
    <w:rsid w:val="5F214D2D"/>
    <w:rsid w:val="5F8A3914"/>
    <w:rsid w:val="5FD02181"/>
    <w:rsid w:val="5FED3B0E"/>
    <w:rsid w:val="62FF13AE"/>
    <w:rsid w:val="63B01411"/>
    <w:rsid w:val="67A67DA8"/>
    <w:rsid w:val="69FE1430"/>
    <w:rsid w:val="70F31736"/>
    <w:rsid w:val="72697C38"/>
    <w:rsid w:val="73B92692"/>
    <w:rsid w:val="74F74953"/>
    <w:rsid w:val="76BD4617"/>
    <w:rsid w:val="7CDA0512"/>
    <w:rsid w:val="7D426FCC"/>
    <w:rsid w:val="7E0F69A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979</Words>
  <Characters>5581</Characters>
  <Lines>46</Lines>
  <Paragraphs>13</Paragraphs>
  <TotalTime>15</TotalTime>
  <ScaleCrop>false</ScaleCrop>
  <LinksUpToDate>false</LinksUpToDate>
  <CharactersWithSpaces>6547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2020-03-06T04:05:00Z</dcterms:created>
  <dc:creator>tai yuzhu</dc:creator>
  <cp:lastModifiedBy>_浅念_1384678640</cp:lastModifiedBy>
  <cp:lastPrinted>2020-07-29T02:35:37Z</cp:lastPrinted>
  <dcterms:modified xsi:type="dcterms:W3CDTF">2020-07-29T02:45:29Z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