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0"/>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七</w:t>
      </w: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val="en-US" w:eastAsia="zh-CN"/>
        </w:rPr>
        <w:t>城川镇</w:t>
      </w:r>
      <w:r>
        <w:rPr>
          <w:rFonts w:hint="eastAsia" w:ascii="方正小标宋_GBK" w:hAnsi="方正小标宋_GBK" w:eastAsia="方正小标宋_GBK"/>
          <w:b w:val="0"/>
          <w:bCs w:val="0"/>
          <w:sz w:val="30"/>
        </w:rPr>
        <w:t>市政服务领域基层政务公开标准目录</w:t>
      </w:r>
      <w:bookmarkEnd w:id="0"/>
    </w:p>
    <w:tbl>
      <w:tblPr>
        <w:tblStyle w:val="10"/>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540" w:type="dxa"/>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1</w:t>
            </w:r>
          </w:p>
          <w:p>
            <w:pPr>
              <w:rPr>
                <w:rFonts w:hint="eastAsia" w:ascii="仿宋_GB2312" w:hAnsi="宋体" w:eastAsia="仿宋_GB2312" w:cs="宋体"/>
                <w:color w:val="000000"/>
                <w:sz w:val="18"/>
                <w:szCs w:val="18"/>
              </w:rPr>
            </w:pP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乡村建设规划许可证核发</w:t>
            </w:r>
          </w:p>
        </w:tc>
        <w:tc>
          <w:tcPr>
            <w:tcW w:w="198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《中华人民共和国城乡规划法》</w:t>
            </w:r>
          </w:p>
        </w:tc>
        <w:tc>
          <w:tcPr>
            <w:tcW w:w="16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农村居民宅基地审批</w:t>
            </w:r>
          </w:p>
        </w:tc>
        <w:tc>
          <w:tcPr>
            <w:tcW w:w="198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《中华人民共和国土地管理法》</w:t>
            </w:r>
          </w:p>
        </w:tc>
        <w:tc>
          <w:tcPr>
            <w:tcW w:w="16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大型户外广告设置审批</w:t>
            </w:r>
          </w:p>
        </w:tc>
        <w:tc>
          <w:tcPr>
            <w:tcW w:w="198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《城市市容和环境卫生管理条例》</w:t>
            </w:r>
          </w:p>
        </w:tc>
        <w:tc>
          <w:tcPr>
            <w:tcW w:w="16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在草原上开展经营性旅游活动许可</w:t>
            </w:r>
          </w:p>
        </w:tc>
        <w:tc>
          <w:tcPr>
            <w:tcW w:w="198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《中华人民共和国草原法》</w:t>
            </w:r>
          </w:p>
        </w:tc>
        <w:tc>
          <w:tcPr>
            <w:tcW w:w="16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在草原上修建直接为草原保护和畜牧业生产服务的工程设施使用草原的审批</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eastAsia="仿宋_GB2312"/>
                <w:b/>
                <w:bCs/>
                <w:color w:val="000000"/>
                <w:sz w:val="18"/>
                <w:szCs w:val="18"/>
              </w:rPr>
            </w:pPr>
            <w:r>
              <w:rPr>
                <w:rFonts w:hint="eastAsia" w:ascii="仿宋_GB2312" w:eastAsia="仿宋_GB2312"/>
                <w:b/>
                <w:bCs/>
                <w:color w:val="000000"/>
                <w:sz w:val="18"/>
                <w:szCs w:val="18"/>
              </w:rPr>
              <w:t>　</w:t>
            </w:r>
          </w:p>
          <w:p>
            <w:pPr>
              <w:rPr>
                <w:rFonts w:hint="eastAsia" w:ascii="仿宋_GB2312" w:eastAsia="仿宋_GB2312"/>
                <w:b/>
                <w:bCs/>
                <w:color w:val="000000"/>
                <w:sz w:val="18"/>
                <w:szCs w:val="18"/>
              </w:rPr>
            </w:pPr>
          </w:p>
          <w:p>
            <w:pPr>
              <w:rPr>
                <w:rFonts w:hint="eastAsia" w:ascii="仿宋_GB2312" w:eastAsia="仿宋_GB2312"/>
                <w:b/>
                <w:bCs/>
                <w:color w:val="000000"/>
                <w:sz w:val="18"/>
                <w:szCs w:val="18"/>
              </w:rPr>
            </w:pPr>
          </w:p>
          <w:p>
            <w:pPr>
              <w:rPr>
                <w:rFonts w:hint="eastAsia" w:ascii="仿宋_GB2312" w:hAnsi="宋体" w:eastAsia="仿宋_GB2312" w:cs="宋体"/>
                <w:b/>
                <w:bCs/>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54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jc w:val="center"/>
              <w:rPr>
                <w:rFonts w:hint="eastAsia" w:ascii="仿宋_GB2312" w:hAnsi="宋体" w:eastAsia="仿宋_GB2312" w:cs="宋体"/>
                <w:color w:val="auto"/>
                <w:sz w:val="18"/>
                <w:szCs w:val="18"/>
              </w:rPr>
            </w:pPr>
            <w:r>
              <w:rPr>
                <w:rFonts w:hint="eastAsia" w:ascii="仿宋_GB2312" w:eastAsia="仿宋_GB2312"/>
                <w:color w:val="auto"/>
                <w:sz w:val="18"/>
                <w:szCs w:val="18"/>
              </w:rPr>
              <w:t>占用城市绿地审批</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lang w:val="en-US" w:eastAsia="zh-CN"/>
              </w:rPr>
            </w:pPr>
            <w:r>
              <w:rPr>
                <w:rFonts w:hint="eastAsia" w:ascii="仿宋_GB2312" w:eastAsia="仿宋_GB2312"/>
                <w:color w:val="000000"/>
                <w:sz w:val="18"/>
                <w:szCs w:val="18"/>
              </w:rPr>
              <w:t>《城市绿化条例》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540"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jc w:val="center"/>
              <w:rPr>
                <w:rFonts w:hint="eastAsia" w:ascii="仿宋_GB2312" w:eastAsia="仿宋_GB2312"/>
                <w:color w:val="auto"/>
                <w:sz w:val="18"/>
                <w:szCs w:val="18"/>
              </w:rPr>
            </w:pPr>
            <w:r>
              <w:rPr>
                <w:rFonts w:hint="eastAsia" w:ascii="仿宋_GB2312" w:eastAsia="仿宋_GB2312"/>
                <w:color w:val="auto"/>
                <w:sz w:val="18"/>
                <w:szCs w:val="18"/>
              </w:rPr>
              <w:t>城市树木砍伐审批</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《城市绿化条例》</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eastAsia="仿宋_GB2312"/>
                <w:color w:val="000000"/>
                <w:sz w:val="18"/>
                <w:szCs w:val="18"/>
              </w:rPr>
            </w:pPr>
          </w:p>
        </w:tc>
        <w:tc>
          <w:tcPr>
            <w:tcW w:w="709" w:type="dxa"/>
            <w:shd w:val="clear" w:color="auto" w:fill="auto"/>
          </w:tcPr>
          <w:p>
            <w:pPr>
              <w:rPr>
                <w:rFonts w:hint="eastAsia" w:ascii="仿宋_GB2312" w:eastAsia="仿宋_GB2312"/>
                <w:b/>
                <w:bCs/>
                <w:color w:val="000000"/>
                <w:sz w:val="18"/>
                <w:szCs w:val="18"/>
              </w:rPr>
            </w:pPr>
          </w:p>
        </w:tc>
        <w:tc>
          <w:tcPr>
            <w:tcW w:w="551" w:type="dxa"/>
            <w:shd w:val="clear" w:color="auto" w:fill="auto"/>
            <w:vAlign w:val="center"/>
          </w:tcPr>
          <w:p>
            <w:pPr>
              <w:jc w:val="center"/>
              <w:rPr>
                <w:rFonts w:hint="eastAsia" w:ascii="仿宋_GB2312" w:eastAsia="仿宋_GB2312"/>
                <w:color w:val="000000"/>
                <w:sz w:val="18"/>
                <w:szCs w:val="18"/>
              </w:rPr>
            </w:pPr>
          </w:p>
        </w:tc>
        <w:tc>
          <w:tcPr>
            <w:tcW w:w="720" w:type="dxa"/>
            <w:shd w:val="clear" w:color="auto" w:fill="auto"/>
          </w:tcPr>
          <w:p>
            <w:pPr>
              <w:rPr>
                <w:rFonts w:hint="eastAsia" w:ascii="仿宋_GB2312" w:eastAsia="仿宋_GB2312"/>
                <w:b/>
                <w:bCs/>
                <w:color w:val="000000"/>
                <w:sz w:val="18"/>
                <w:szCs w:val="18"/>
              </w:rPr>
            </w:pPr>
          </w:p>
        </w:tc>
        <w:tc>
          <w:tcPr>
            <w:tcW w:w="720" w:type="dxa"/>
            <w:shd w:val="clear" w:color="auto" w:fill="auto"/>
            <w:vAlign w:val="center"/>
          </w:tcPr>
          <w:p>
            <w:pPr>
              <w:jc w:val="center"/>
              <w:rPr>
                <w:rFonts w:hint="eastAsia" w:ascii="仿宋_GB2312" w:eastAsia="仿宋_GB2312"/>
                <w:color w:val="000000"/>
                <w:sz w:val="18"/>
                <w:szCs w:val="18"/>
              </w:rPr>
            </w:pP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临时堆放物料、搭建非永久性建筑物、构筑物或其他设施审批</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《城市市容和环境卫生管理条例》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 xml:space="preserve"> </w:t>
            </w: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环境卫生设施拆迁方案审批</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《中华人民共和国固体废物污染环境防治法》</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auto"/>
                <w:sz w:val="18"/>
                <w:szCs w:val="18"/>
              </w:rPr>
              <w:t>木材运输证核发</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《中华人民共和国森林法》</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依附于城市道路建设各种管线、杆线等设施审批</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《城市道路管理条例》</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城市生活垃圾经营性清扫、收集、运输服务许可证</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《城市生活垃圾管理办法》 </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城市建筑垃圾处置核准</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《城市建筑垃圾管理规定》</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w:t>
            </w:r>
          </w:p>
        </w:tc>
        <w:tc>
          <w:tcPr>
            <w:tcW w:w="900" w:type="dxa"/>
            <w:shd w:val="clear" w:color="auto" w:fill="auto"/>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行政确认</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婚姻登记</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《中华人民共和国婚姻法》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城乡低保金的给付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特困人员救助供养</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城乡临时救助</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城乡医疗救助金的给付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19</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高龄津贴资金的给付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《中华人民共和国老年人权益保障法》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鄂托克前旗城川镇人民政府</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3B2C77"/>
    <w:rsid w:val="004077CB"/>
    <w:rsid w:val="00416393"/>
    <w:rsid w:val="00505CE0"/>
    <w:rsid w:val="00612901"/>
    <w:rsid w:val="0077273F"/>
    <w:rsid w:val="008438B0"/>
    <w:rsid w:val="00902A01"/>
    <w:rsid w:val="00A41EEC"/>
    <w:rsid w:val="00AA6B60"/>
    <w:rsid w:val="00B56955"/>
    <w:rsid w:val="00C3715A"/>
    <w:rsid w:val="00FA002F"/>
    <w:rsid w:val="00FD423A"/>
    <w:rsid w:val="10482B9A"/>
    <w:rsid w:val="25A753D9"/>
    <w:rsid w:val="42E56834"/>
    <w:rsid w:val="4A4F0CDB"/>
    <w:rsid w:val="4DD37731"/>
    <w:rsid w:val="535F5119"/>
    <w:rsid w:val="55091584"/>
    <w:rsid w:val="571D40B4"/>
    <w:rsid w:val="5D502121"/>
    <w:rsid w:val="5E0478A6"/>
    <w:rsid w:val="66CA0AAE"/>
    <w:rsid w:val="6A3612F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annotation subject"/>
    <w:basedOn w:val="3"/>
    <w:next w:val="3"/>
    <w:link w:val="19"/>
    <w:semiHidden/>
    <w:qFormat/>
    <w:uiPriority w:val="0"/>
    <w:rPr>
      <w:b/>
      <w:bCs/>
    </w:rPr>
  </w:style>
  <w:style w:type="table" w:styleId="11">
    <w:name w:val="Table Grid"/>
    <w:basedOn w:val="10"/>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2"/>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2"/>
    <w:link w:val="3"/>
    <w:semiHidden/>
    <w:qFormat/>
    <w:uiPriority w:val="0"/>
    <w:rPr>
      <w:rFonts w:ascii="Calibri" w:hAnsi="Calibri" w:eastAsia="宋体" w:cs="Times New Roman"/>
    </w:rPr>
  </w:style>
  <w:style w:type="character" w:customStyle="1" w:styleId="19">
    <w:name w:val="批注主题 字符"/>
    <w:basedOn w:val="18"/>
    <w:link w:val="9"/>
    <w:semiHidden/>
    <w:qFormat/>
    <w:uiPriority w:val="0"/>
    <w:rPr>
      <w:rFonts w:ascii="Calibri" w:hAnsi="Calibri" w:eastAsia="宋体" w:cs="Times New Roman"/>
      <w:b/>
      <w:bCs/>
    </w:rPr>
  </w:style>
  <w:style w:type="character" w:customStyle="1" w:styleId="20">
    <w:name w:val="批注框文本 字符"/>
    <w:basedOn w:val="12"/>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2"/>
    <w:link w:val="6"/>
    <w:qFormat/>
    <w:uiPriority w:val="0"/>
    <w:rPr>
      <w:rFonts w:ascii="Calibri" w:hAnsi="Calibri" w:eastAsia="宋体" w:cs="Times New Roman"/>
      <w:sz w:val="18"/>
      <w:szCs w:val="18"/>
    </w:rPr>
  </w:style>
  <w:style w:type="character" w:customStyle="1" w:styleId="23">
    <w:name w:val="页脚 字符"/>
    <w:basedOn w:val="12"/>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7C216-C0C9-424E-A7CF-8EAE54ECEB29}">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224</Words>
  <Characters>1279</Characters>
  <Lines>10</Lines>
  <Paragraphs>2</Paragraphs>
  <TotalTime>6</TotalTime>
  <ScaleCrop>false</ScaleCrop>
  <LinksUpToDate>false</LinksUpToDate>
  <CharactersWithSpaces>1501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 刘淑媛媛～</cp:lastModifiedBy>
  <dcterms:modified xsi:type="dcterms:W3CDTF">2020-11-10T00:53:52Z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