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rPr>
        <w:t>（三）</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eastAsia="zh-CN"/>
        </w:rPr>
        <w:t>城川镇人民政府</w:t>
      </w:r>
      <w:r>
        <w:rPr>
          <w:rFonts w:hint="eastAsia" w:ascii="方正小标宋_GBK" w:hAnsi="方正小标宋_GBK" w:eastAsia="方正小标宋_GBK"/>
          <w:b w:val="0"/>
          <w:bCs w:val="0"/>
          <w:sz w:val="30"/>
        </w:rPr>
        <w:t>义务教育领域基层政务公开标准目录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160"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w:t>
            </w:r>
            <w:r>
              <w:rPr>
                <w:rFonts w:hint="eastAsia" w:ascii="仿宋_GB2312" w:hAnsi="宋体" w:eastAsia="仿宋_GB2312"/>
                <w:color w:val="000000" w:themeColor="text1"/>
                <w:sz w:val="18"/>
                <w:szCs w:val="18"/>
                <w14:textFill>
                  <w14:solidFill>
                    <w14:schemeClr w14:val="tx1"/>
                  </w14:solidFill>
                </w14:textFill>
              </w:rPr>
              <w:t>《</w:t>
            </w:r>
            <w:r>
              <w:rPr>
                <w:rFonts w:hint="eastAsia" w:ascii="仿宋_GB2312" w:hAnsi="宋体" w:eastAsia="仿宋_GB2312"/>
                <w:color w:val="000000" w:themeColor="text1"/>
                <w:sz w:val="18"/>
                <w:szCs w:val="18"/>
                <w:lang w:eastAsia="zh-CN"/>
                <w14:textFill>
                  <w14:solidFill>
                    <w14:schemeClr w14:val="tx1"/>
                  </w14:solidFill>
                </w14:textFill>
              </w:rPr>
              <w:t>中华人民共和国</w:t>
            </w:r>
            <w:r>
              <w:rPr>
                <w:rFonts w:hint="eastAsia" w:ascii="仿宋_GB2312" w:hAnsi="宋体" w:eastAsia="仿宋_GB2312"/>
                <w:color w:val="000000" w:themeColor="text1"/>
                <w:sz w:val="18"/>
                <w:szCs w:val="18"/>
                <w14:textFill>
                  <w14:solidFill>
                    <w14:schemeClr w14:val="tx1"/>
                  </w14:solidFill>
                </w14:textFill>
              </w:rPr>
              <w:t>国家通用语言文字法》</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微信公众号、微博</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540" w:type="dxa"/>
            <w:shd w:val="clear" w:color="auto" w:fill="auto"/>
            <w:vAlign w:val="center"/>
          </w:tcPr>
          <w:p>
            <w:pPr>
              <w:jc w:val="center"/>
              <w:rPr>
                <w:rFonts w:hint="eastAsia" w:ascii="仿宋_GB2312" w:hAnsi="宋体" w:eastAsia="仿宋_GB2312"/>
                <w:sz w:val="18"/>
                <w:szCs w:val="18"/>
                <w:lang w:val="en-US" w:eastAsia="zh-CN"/>
              </w:rPr>
            </w:pPr>
            <w:r>
              <w:rPr>
                <w:rFonts w:hint="eastAsia" w:ascii="仿宋_GB2312" w:hAnsi="宋体" w:eastAsia="仿宋_GB2312"/>
                <w:sz w:val="18"/>
                <w:szCs w:val="18"/>
                <w:lang w:val="en-US" w:eastAsia="zh-CN"/>
              </w:rPr>
              <w:t>教师管理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教师职称评审</w:t>
            </w:r>
          </w:p>
        </w:tc>
        <w:tc>
          <w:tcPr>
            <w:tcW w:w="234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仿宋" w:eastAsia="仿宋_GB2312"/>
                <w:color w:val="000000"/>
                <w:sz w:val="18"/>
                <w:szCs w:val="18"/>
              </w:rPr>
              <w:t>教师</w:t>
            </w:r>
          </w:p>
        </w:tc>
        <w:tc>
          <w:tcPr>
            <w:tcW w:w="540" w:type="dxa"/>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p>
        </w:tc>
        <w:tc>
          <w:tcPr>
            <w:tcW w:w="720" w:type="dxa"/>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ind w:firstLine="180" w:firstLineChars="100"/>
              <w:rPr>
                <w:rFonts w:hint="eastAsia"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鄂托克前旗城川镇人民政府</w:t>
            </w:r>
          </w:p>
        </w:tc>
        <w:tc>
          <w:tcPr>
            <w:tcW w:w="2160" w:type="dxa"/>
            <w:shd w:val="clear" w:color="auto" w:fill="auto"/>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E0878"/>
    <w:rsid w:val="00416393"/>
    <w:rsid w:val="024C5DAC"/>
    <w:rsid w:val="1A616C77"/>
    <w:rsid w:val="29ED7081"/>
    <w:rsid w:val="2DDB544B"/>
    <w:rsid w:val="6A331B30"/>
    <w:rsid w:val="6A7D0DA8"/>
    <w:rsid w:val="6B9A17DF"/>
    <w:rsid w:val="6D0A2303"/>
    <w:rsid w:val="6F8B52F7"/>
    <w:rsid w:val="7D9A2281"/>
    <w:rsid w:val="7F8F5AF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2</TotalTime>
  <ScaleCrop>false</ScaleCrop>
  <LinksUpToDate>false</LinksUpToDate>
  <CharactersWithSpaces>6547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 刘淑媛媛～</cp:lastModifiedBy>
  <cp:lastPrinted>2020-09-17T01:11:00Z</cp:lastPrinted>
  <dcterms:modified xsi:type="dcterms:W3CDTF">2020-11-09T09:21:53Z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