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06"/>
      <w:r>
        <w:rPr>
          <w:rFonts w:hint="eastAsia" w:ascii="方正小标宋_GBK" w:hAnsi="方正小标宋_GBK" w:eastAsia="方正小标宋_GBK"/>
          <w:b w:val="0"/>
          <w:bCs w:val="0"/>
          <w:sz w:val="30"/>
        </w:rPr>
        <w:t>（三）</w:t>
      </w:r>
      <w:r>
        <w:rPr>
          <w:rFonts w:hint="eastAsia" w:ascii="方正小标宋_GBK" w:hAnsi="方正小标宋_GBK" w:eastAsia="方正小标宋_GBK"/>
          <w:b w:val="0"/>
          <w:bCs w:val="0"/>
          <w:sz w:val="30"/>
          <w:lang w:eastAsia="zh-CN"/>
        </w:rPr>
        <w:t>鄂托克前旗敖勒召其镇</w:t>
      </w:r>
      <w:r>
        <w:rPr>
          <w:rFonts w:hint="eastAsia" w:ascii="方正小标宋_GBK" w:hAnsi="方正小标宋_GBK" w:eastAsia="方正小标宋_GBK"/>
          <w:b w:val="0"/>
          <w:bCs w:val="0"/>
          <w:sz w:val="30"/>
        </w:rPr>
        <w:t>义务教育领域基层政务公开标准目录</w:t>
      </w:r>
      <w:bookmarkEnd w:id="0"/>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hint="eastAsia" w:ascii="黑体" w:hAnsi="Times New Roman" w:eastAsia="黑体"/>
                <w:color w:val="000000"/>
                <w:kern w:val="0"/>
                <w:sz w:val="22"/>
              </w:rPr>
            </w:pP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hint="eastAsia" w:ascii="黑体" w:hAnsi="宋体" w:eastAsia="黑体" w:cs="宋体"/>
                <w:color w:val="000000"/>
                <w:kern w:val="0"/>
                <w:sz w:val="22"/>
              </w:rPr>
            </w:pPr>
          </w:p>
        </w:tc>
        <w:tc>
          <w:tcPr>
            <w:tcW w:w="2520" w:type="dxa"/>
            <w:vMerge w:val="continue"/>
            <w:vAlign w:val="center"/>
          </w:tcPr>
          <w:p>
            <w:pPr>
              <w:widowControl/>
              <w:jc w:val="left"/>
              <w:rPr>
                <w:rFonts w:hint="eastAsia" w:ascii="黑体" w:hAnsi="宋体" w:eastAsia="黑体" w:cs="宋体"/>
                <w:color w:val="000000"/>
                <w:kern w:val="0"/>
                <w:sz w:val="22"/>
              </w:rPr>
            </w:pPr>
          </w:p>
        </w:tc>
        <w:tc>
          <w:tcPr>
            <w:tcW w:w="1620" w:type="dxa"/>
            <w:vMerge w:val="continue"/>
            <w:vAlign w:val="center"/>
          </w:tcPr>
          <w:p>
            <w:pPr>
              <w:widowControl/>
              <w:jc w:val="left"/>
              <w:rPr>
                <w:rFonts w:hint="eastAsia" w:ascii="黑体" w:hAnsi="宋体" w:eastAsia="黑体" w:cs="宋体"/>
                <w:color w:val="000000"/>
                <w:kern w:val="0"/>
                <w:sz w:val="22"/>
              </w:rPr>
            </w:pPr>
          </w:p>
        </w:tc>
        <w:tc>
          <w:tcPr>
            <w:tcW w:w="900" w:type="dxa"/>
            <w:vMerge w:val="continue"/>
            <w:vAlign w:val="center"/>
          </w:tcPr>
          <w:p>
            <w:pPr>
              <w:widowControl/>
              <w:jc w:val="left"/>
              <w:rPr>
                <w:rFonts w:hint="eastAsia" w:ascii="黑体" w:hAnsi="宋体" w:eastAsia="黑体" w:cs="宋体"/>
                <w:color w:val="000000"/>
                <w:kern w:val="0"/>
                <w:sz w:val="22"/>
              </w:rPr>
            </w:pPr>
          </w:p>
        </w:tc>
        <w:tc>
          <w:tcPr>
            <w:tcW w:w="2160" w:type="dxa"/>
            <w:vMerge w:val="continue"/>
            <w:vAlign w:val="center"/>
          </w:tcPr>
          <w:p>
            <w:pPr>
              <w:widowControl/>
              <w:jc w:val="left"/>
              <w:rPr>
                <w:rFonts w:hint="eastAsia" w:ascii="黑体" w:hAnsi="宋体" w:eastAsia="黑体" w:cs="宋体"/>
                <w:kern w:val="0"/>
                <w:sz w:val="22"/>
              </w:rPr>
            </w:pP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54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w:t>
            </w:r>
            <w:r>
              <w:rPr>
                <w:rFonts w:hint="eastAsia" w:ascii="仿宋_GB2312" w:hAnsi="宋体" w:eastAsia="仿宋_GB2312"/>
                <w:color w:val="000000" w:themeColor="text1"/>
                <w:sz w:val="18"/>
                <w:szCs w:val="18"/>
                <w14:textFill>
                  <w14:solidFill>
                    <w14:schemeClr w14:val="tx1"/>
                  </w14:solidFill>
                </w14:textFill>
              </w:rPr>
              <w:t>《</w:t>
            </w:r>
            <w:r>
              <w:rPr>
                <w:rFonts w:hint="eastAsia" w:ascii="仿宋_GB2312" w:hAnsi="宋体" w:eastAsia="仿宋_GB2312"/>
                <w:color w:val="000000" w:themeColor="text1"/>
                <w:sz w:val="18"/>
                <w:szCs w:val="18"/>
                <w:lang w:eastAsia="zh-CN"/>
                <w14:textFill>
                  <w14:solidFill>
                    <w14:schemeClr w14:val="tx1"/>
                  </w14:solidFill>
                </w14:textFill>
              </w:rPr>
              <w:t>中华人民共和国</w:t>
            </w:r>
            <w:r>
              <w:rPr>
                <w:rFonts w:hint="eastAsia" w:ascii="仿宋_GB2312" w:hAnsi="宋体" w:eastAsia="仿宋_GB2312"/>
                <w:color w:val="000000" w:themeColor="text1"/>
                <w:sz w:val="18"/>
                <w:szCs w:val="18"/>
                <w14:textFill>
                  <w14:solidFill>
                    <w14:schemeClr w14:val="tx1"/>
                  </w14:solidFill>
                </w14:textFill>
              </w:rPr>
              <w:t>国家通用语言文字法》</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鄂托克前旗敖勒召其镇人民政府</w:t>
            </w:r>
          </w:p>
        </w:tc>
        <w:tc>
          <w:tcPr>
            <w:tcW w:w="216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鄂托克前旗敖勒召其镇人民政府</w:t>
            </w:r>
          </w:p>
        </w:tc>
        <w:tc>
          <w:tcPr>
            <w:tcW w:w="2160" w:type="dxa"/>
            <w:shd w:val="clear" w:color="auto" w:fill="auto"/>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■政府公报</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微信公众号、微博</w:t>
            </w:r>
            <w:r>
              <w:rPr>
                <w:rFonts w:hint="eastAsia" w:ascii="仿宋_GB2312" w:hAnsi="仿宋" w:eastAsia="仿宋_GB2312"/>
                <w:color w:val="000000"/>
                <w:sz w:val="18"/>
                <w:szCs w:val="18"/>
              </w:rPr>
              <w:t xml:space="preserve">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54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鄂托克前旗敖勒召其镇人民政府</w:t>
            </w:r>
          </w:p>
        </w:tc>
        <w:tc>
          <w:tcPr>
            <w:tcW w:w="216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法律依据、办理流程、审批结果</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鄂托克前旗敖勒召其镇人民政府</w:t>
            </w:r>
          </w:p>
        </w:tc>
        <w:tc>
          <w:tcPr>
            <w:tcW w:w="2160" w:type="dxa"/>
            <w:shd w:val="clear" w:color="auto" w:fill="auto"/>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■政府网站           ■公开查阅点</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4</w:t>
            </w:r>
          </w:p>
        </w:tc>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shd w:val="clear" w:color="auto" w:fill="auto"/>
            <w:noWrap/>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shd w:val="clear" w:color="auto" w:fill="auto"/>
            <w:vAlign w:val="center"/>
          </w:tcPr>
          <w:p>
            <w:pPr>
              <w:jc w:val="lef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val="en-US" w:eastAsia="zh-CN"/>
              </w:rPr>
              <w:t>鄂托克前旗敖勒召其镇人民政府</w:t>
            </w:r>
          </w:p>
        </w:tc>
        <w:tc>
          <w:tcPr>
            <w:tcW w:w="2160" w:type="dxa"/>
            <w:shd w:val="clear" w:color="auto" w:fill="auto"/>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■公开查阅点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shd w:val="clear" w:color="auto" w:fill="auto"/>
            <w:noWrap/>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90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学校介绍</w:t>
            </w:r>
          </w:p>
        </w:tc>
        <w:tc>
          <w:tcPr>
            <w:tcW w:w="234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val="en-US" w:eastAsia="zh-CN"/>
              </w:rPr>
              <w:t>鄂托克前旗敖勒召其镇人民政府</w:t>
            </w:r>
          </w:p>
        </w:tc>
        <w:tc>
          <w:tcPr>
            <w:tcW w:w="216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■公开查阅点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sz w:val="18"/>
                <w:szCs w:val="18"/>
              </w:rPr>
            </w:pPr>
          </w:p>
        </w:tc>
        <w:tc>
          <w:tcPr>
            <w:tcW w:w="900" w:type="dxa"/>
            <w:shd w:val="clear" w:color="auto" w:fill="auto"/>
            <w:noWrap/>
            <w:vAlign w:val="center"/>
          </w:tcPr>
          <w:p>
            <w:pPr>
              <w:rPr>
                <w:rFonts w:hint="eastAsia" w:ascii="仿宋_GB2312" w:hAnsi="宋体" w:eastAsia="仿宋_GB2312"/>
                <w:sz w:val="18"/>
                <w:szCs w:val="18"/>
              </w:rPr>
            </w:pPr>
            <w:r>
              <w:rPr>
                <w:rFonts w:hint="eastAsia" w:ascii="仿宋_GB2312" w:hAnsi="宋体" w:eastAsia="仿宋_GB2312"/>
                <w:sz w:val="18"/>
                <w:szCs w:val="18"/>
              </w:rPr>
              <w:t>招生政策</w:t>
            </w:r>
          </w:p>
        </w:tc>
        <w:tc>
          <w:tcPr>
            <w:tcW w:w="234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vAlign w:val="center"/>
          </w:tcPr>
          <w:p>
            <w:pPr>
              <w:rPr>
                <w:rFonts w:hint="eastAsia" w:ascii="仿宋_GB2312" w:hAnsi="宋体" w:eastAsia="仿宋_GB2312" w:cs="宋体"/>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val="en-US" w:eastAsia="zh-CN"/>
              </w:rPr>
              <w:t>鄂托克前旗敖勒召其镇人民政府</w:t>
            </w:r>
          </w:p>
        </w:tc>
        <w:tc>
          <w:tcPr>
            <w:tcW w:w="216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■纸质媒体           ■公开查阅点</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40" w:type="dxa"/>
            <w:vMerge w:val="restart"/>
            <w:shd w:val="clear" w:color="auto" w:fill="auto"/>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学生管理</w:t>
            </w:r>
          </w:p>
        </w:tc>
        <w:tc>
          <w:tcPr>
            <w:tcW w:w="900"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sz w:val="18"/>
                <w:szCs w:val="18"/>
              </w:rPr>
              <w:t>学籍管理</w:t>
            </w:r>
          </w:p>
        </w:tc>
        <w:tc>
          <w:tcPr>
            <w:tcW w:w="234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52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val="en-US" w:eastAsia="zh-CN"/>
              </w:rPr>
              <w:t>鄂托克前旗敖勒召其镇人民政府</w:t>
            </w:r>
          </w:p>
        </w:tc>
        <w:tc>
          <w:tcPr>
            <w:tcW w:w="2160" w:type="dxa"/>
            <w:shd w:val="clear" w:color="auto" w:fill="auto"/>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cs="宋体"/>
                <w:sz w:val="18"/>
                <w:szCs w:val="18"/>
              </w:rPr>
            </w:pPr>
            <w:r>
              <w:rPr>
                <w:rFonts w:hint="eastAsia" w:ascii="仿宋_GB2312" w:hAnsi="仿宋" w:eastAsia="仿宋_GB2312"/>
                <w:sz w:val="18"/>
                <w:szCs w:val="18"/>
              </w:rPr>
              <w:t xml:space="preserve">■其他：中小学生学籍管理系统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sz w:val="18"/>
                <w:szCs w:val="18"/>
              </w:rPr>
            </w:pPr>
          </w:p>
        </w:tc>
        <w:tc>
          <w:tcPr>
            <w:tcW w:w="900"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val="en-US" w:eastAsia="zh-CN"/>
              </w:rPr>
              <w:t>鄂托克前旗敖勒召其镇人民政府</w:t>
            </w:r>
          </w:p>
        </w:tc>
        <w:tc>
          <w:tcPr>
            <w:tcW w:w="216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■社区/企事业单位/村公示栏（电子屏）</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540" w:type="dxa"/>
            <w:shd w:val="clear" w:color="auto" w:fill="auto"/>
            <w:noWrap/>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w:t>
            </w:r>
          </w:p>
        </w:tc>
        <w:tc>
          <w:tcPr>
            <w:tcW w:w="540" w:type="dxa"/>
            <w:shd w:val="clear" w:color="auto" w:fill="auto"/>
            <w:vAlign w:val="center"/>
          </w:tcPr>
          <w:p>
            <w:pPr>
              <w:jc w:val="center"/>
              <w:rPr>
                <w:rFonts w:hint="eastAsia" w:ascii="仿宋_GB2312" w:hAnsi="宋体" w:eastAsia="仿宋_GB2312"/>
                <w:sz w:val="18"/>
                <w:szCs w:val="18"/>
                <w:lang w:val="en-US" w:eastAsia="zh-CN"/>
              </w:rPr>
            </w:pPr>
            <w:r>
              <w:rPr>
                <w:rFonts w:hint="eastAsia" w:ascii="仿宋_GB2312" w:hAnsi="宋体" w:eastAsia="仿宋_GB2312"/>
                <w:sz w:val="18"/>
                <w:szCs w:val="18"/>
                <w:lang w:val="en-US" w:eastAsia="zh-CN"/>
              </w:rPr>
              <w:t>教师管理</w:t>
            </w:r>
          </w:p>
        </w:tc>
        <w:tc>
          <w:tcPr>
            <w:tcW w:w="900"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rPr>
              <w:t>教师职称评审</w:t>
            </w:r>
          </w:p>
        </w:tc>
        <w:tc>
          <w:tcPr>
            <w:tcW w:w="2340"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900" w:type="dxa"/>
            <w:shd w:val="clear" w:color="auto" w:fill="auto"/>
            <w:vAlign w:val="center"/>
          </w:tcPr>
          <w:p>
            <w:pPr>
              <w:rPr>
                <w:rFonts w:hint="eastAsia"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鄂托克前旗敖勒召其镇人民政府</w:t>
            </w:r>
          </w:p>
        </w:tc>
        <w:tc>
          <w:tcPr>
            <w:tcW w:w="2160" w:type="dxa"/>
            <w:shd w:val="clear" w:color="auto" w:fill="auto"/>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hint="eastAsia" w:ascii="仿宋_GB2312" w:hAnsi="仿宋" w:eastAsia="仿宋_GB2312"/>
                <w:color w:val="000000"/>
                <w:sz w:val="18"/>
                <w:szCs w:val="18"/>
              </w:rPr>
            </w:pPr>
          </w:p>
        </w:tc>
        <w:tc>
          <w:tcPr>
            <w:tcW w:w="720" w:type="dxa"/>
            <w:gridSpan w:val="2"/>
            <w:shd w:val="clear" w:color="auto" w:fill="auto"/>
            <w:noWrap/>
            <w:vAlign w:val="center"/>
          </w:tcPr>
          <w:p>
            <w:pPr>
              <w:rPr>
                <w:rFonts w:hint="eastAsia" w:ascii="仿宋_GB2312" w:hAnsi="Times New Roman" w:eastAsia="仿宋_GB2312"/>
                <w:sz w:val="18"/>
                <w:szCs w:val="18"/>
              </w:rPr>
            </w:pPr>
            <w:r>
              <w:rPr>
                <w:rFonts w:hint="eastAsia" w:ascii="仿宋_GB2312" w:hAnsi="仿宋" w:eastAsia="仿宋_GB2312"/>
                <w:color w:val="000000"/>
                <w:sz w:val="18"/>
                <w:szCs w:val="18"/>
              </w:rPr>
              <w:t>教师</w:t>
            </w:r>
          </w:p>
        </w:tc>
        <w:tc>
          <w:tcPr>
            <w:tcW w:w="540" w:type="dxa"/>
            <w:shd w:val="clear" w:color="auto" w:fill="auto"/>
            <w:noWrap/>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rPr>
                <w:rFonts w:hint="eastAsia" w:ascii="仿宋_GB2312" w:hAnsi="Times New Roman" w:eastAsia="仿宋_GB2312"/>
                <w:sz w:val="18"/>
                <w:szCs w:val="18"/>
              </w:rPr>
            </w:pPr>
          </w:p>
        </w:tc>
        <w:tc>
          <w:tcPr>
            <w:tcW w:w="720" w:type="dxa"/>
            <w:shd w:val="clear" w:color="auto" w:fill="auto"/>
            <w:noWrap/>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ind w:firstLine="180" w:firstLineChars="100"/>
              <w:rPr>
                <w:rFonts w:hint="eastAsia"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54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8</w:t>
            </w:r>
          </w:p>
        </w:tc>
        <w:tc>
          <w:tcPr>
            <w:tcW w:w="540" w:type="dxa"/>
            <w:shd w:val="clear" w:color="auto" w:fill="auto"/>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控辍保学</w:t>
            </w:r>
          </w:p>
        </w:tc>
        <w:tc>
          <w:tcPr>
            <w:tcW w:w="234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val="en-US" w:eastAsia="zh-CN"/>
              </w:rPr>
              <w:t>鄂托克前旗敖勒召其镇人民政府</w:t>
            </w:r>
          </w:p>
        </w:tc>
        <w:tc>
          <w:tcPr>
            <w:tcW w:w="2160" w:type="dxa"/>
            <w:shd w:val="clear" w:color="auto" w:fill="auto"/>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■公开查阅点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E6D63"/>
    <w:rsid w:val="002967AA"/>
    <w:rsid w:val="002E0878"/>
    <w:rsid w:val="00416393"/>
    <w:rsid w:val="024C5DAC"/>
    <w:rsid w:val="1A616C77"/>
    <w:rsid w:val="29ED7081"/>
    <w:rsid w:val="6A331B30"/>
    <w:rsid w:val="6A7D0DA8"/>
    <w:rsid w:val="6B9A17DF"/>
    <w:rsid w:val="6F8B52F7"/>
    <w:rsid w:val="7F8F5AF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uiPriority w:val="0"/>
    <w:rPr>
      <w:color w:val="0000FF"/>
      <w:u w:val="single"/>
    </w:rPr>
  </w:style>
  <w:style w:type="character" w:styleId="14">
    <w:name w:val="annotation reference"/>
    <w:semiHidden/>
    <w:qFormat/>
    <w:uiPriority w:val="0"/>
    <w:rPr>
      <w:sz w:val="21"/>
      <w:szCs w:val="21"/>
    </w:rPr>
  </w:style>
  <w:style w:type="character" w:customStyle="1" w:styleId="15">
    <w:name w:val="标题 1 字符"/>
    <w:basedOn w:val="11"/>
    <w:link w:val="2"/>
    <w:qFormat/>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qFormat/>
    <w:uiPriority w:val="0"/>
    <w:rPr>
      <w:rFonts w:ascii="Calibri" w:hAnsi="Calibri" w:eastAsia="宋体" w:cs="Times New Roman"/>
    </w:rPr>
  </w:style>
  <w:style w:type="character" w:customStyle="1" w:styleId="18">
    <w:name w:val="批注主题 字符"/>
    <w:basedOn w:val="17"/>
    <w:link w:val="8"/>
    <w:semiHidden/>
    <w:uiPriority w:val="0"/>
    <w:rPr>
      <w:rFonts w:ascii="Calibri" w:hAnsi="Calibri" w:eastAsia="宋体" w:cs="Times New Roman"/>
      <w:b/>
      <w:bCs/>
    </w:rPr>
  </w:style>
  <w:style w:type="character" w:customStyle="1" w:styleId="19">
    <w:name w:val="批注框文本 字符"/>
    <w:basedOn w:val="11"/>
    <w:link w:val="4"/>
    <w:semiHidden/>
    <w:qFormat/>
    <w:uiPriority w:val="0"/>
    <w:rPr>
      <w:rFonts w:ascii="Calibri" w:hAnsi="Calibri" w:eastAsia="宋体" w:cs="Times New Roman"/>
      <w:sz w:val="18"/>
      <w:szCs w:val="18"/>
    </w:rPr>
  </w:style>
  <w:style w:type="paragraph" w:customStyle="1" w:styleId="20">
    <w:name w:val="列出段落1"/>
    <w:basedOn w:val="1"/>
    <w:qFormat/>
    <w:uiPriority w:val="0"/>
    <w:pPr>
      <w:ind w:firstLine="420" w:firstLineChars="200"/>
    </w:pPr>
  </w:style>
  <w:style w:type="character" w:customStyle="1" w:styleId="21">
    <w:name w:val="页眉 字符"/>
    <w:basedOn w:val="11"/>
    <w:link w:val="6"/>
    <w:qFormat/>
    <w:uiPriority w:val="0"/>
    <w:rPr>
      <w:rFonts w:ascii="Calibri" w:hAnsi="Calibri" w:eastAsia="宋体" w:cs="Times New Roman"/>
      <w:sz w:val="18"/>
      <w:szCs w:val="18"/>
    </w:rPr>
  </w:style>
  <w:style w:type="character" w:customStyle="1" w:styleId="22">
    <w:name w:val="页脚 字符"/>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979</Words>
  <Characters>5581</Characters>
  <Lines>46</Lines>
  <Paragraphs>13</Paragraphs>
  <TotalTime>1</TotalTime>
  <ScaleCrop>false</ScaleCrop>
  <LinksUpToDate>false</LinksUpToDate>
  <CharactersWithSpaces>6547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2020-03-06T04:05:00Z</dcterms:created>
  <dc:creator>tai yuzhu</dc:creator>
  <cp:lastModifiedBy>爱谁谁</cp:lastModifiedBy>
  <cp:lastPrinted>2020-09-17T01:11:00Z</cp:lastPrinted>
  <dcterms:modified xsi:type="dcterms:W3CDTF">2020-10-09T07:19:07Z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